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816F" w14:textId="77777777" w:rsidR="00180203" w:rsidRDefault="00180203">
      <w:pPr>
        <w:rPr>
          <w:b/>
          <w:bCs/>
          <w:sz w:val="24"/>
          <w:szCs w:val="24"/>
        </w:rPr>
      </w:pPr>
    </w:p>
    <w:p w14:paraId="0A63007B" w14:textId="05775271" w:rsidR="003305E2" w:rsidRPr="00E0225E" w:rsidRDefault="00E0225E">
      <w:pPr>
        <w:rPr>
          <w:rFonts w:ascii="Calibri" w:hAnsi="Calibri" w:cs="Calibri"/>
          <w:b/>
          <w:color w:val="13576B"/>
          <w:sz w:val="40"/>
          <w:szCs w:val="40"/>
        </w:rPr>
      </w:pPr>
      <w:r>
        <w:rPr>
          <w:rFonts w:ascii="Calibri" w:hAnsi="Calibri" w:cs="Calibri"/>
          <w:b/>
          <w:color w:val="13576B"/>
          <w:sz w:val="40"/>
          <w:szCs w:val="40"/>
        </w:rPr>
        <w:t xml:space="preserve">Komentář České bankovní asociace k vývoji nevýkonných úvěrů za březen 2021 dle </w:t>
      </w:r>
      <w:r w:rsidR="00AD22C3" w:rsidRPr="00E0225E">
        <w:rPr>
          <w:rFonts w:ascii="Calibri" w:hAnsi="Calibri" w:cs="Calibri"/>
          <w:b/>
          <w:color w:val="13576B"/>
          <w:sz w:val="40"/>
          <w:szCs w:val="40"/>
        </w:rPr>
        <w:t>statistik ČNB</w:t>
      </w:r>
    </w:p>
    <w:p w14:paraId="1B723DBA" w14:textId="77777777" w:rsidR="00E0225E" w:rsidRPr="00665FB8" w:rsidRDefault="00E0225E" w:rsidP="00E0225E">
      <w:pPr>
        <w:spacing w:line="276" w:lineRule="auto"/>
        <w:contextualSpacing/>
        <w:rPr>
          <w:rFonts w:ascii="Calibri" w:hAnsi="Calibri" w:cs="Calibri"/>
          <w:b/>
          <w:color w:val="13576B"/>
        </w:rPr>
      </w:pPr>
    </w:p>
    <w:p w14:paraId="08B6BE26" w14:textId="77777777" w:rsidR="00E0225E" w:rsidRPr="00665FB8" w:rsidRDefault="00E0225E" w:rsidP="00E0225E">
      <w:pPr>
        <w:spacing w:line="276" w:lineRule="auto"/>
        <w:contextualSpacing/>
        <w:rPr>
          <w:rFonts w:ascii="Calibri" w:hAnsi="Calibri" w:cs="Calibri"/>
          <w:b/>
          <w:color w:val="13576B"/>
        </w:rPr>
      </w:pPr>
      <w:r w:rsidRPr="00665FB8">
        <w:rPr>
          <w:rFonts w:ascii="Calibri" w:hAnsi="Calibri" w:cs="Calibri"/>
          <w:b/>
          <w:color w:val="13576B"/>
        </w:rPr>
        <w:t xml:space="preserve">Autor: Vladimír Staňura, hlavní poradce ČBA </w:t>
      </w:r>
    </w:p>
    <w:p w14:paraId="65A96668" w14:textId="6F58CDEC" w:rsidR="00E0225E" w:rsidRPr="00665FB8" w:rsidRDefault="00E0225E" w:rsidP="00E0225E">
      <w:pPr>
        <w:spacing w:line="276" w:lineRule="auto"/>
        <w:rPr>
          <w:rFonts w:ascii="Calibri" w:hAnsi="Calibri" w:cs="Calibri"/>
          <w:b/>
          <w:color w:val="13576B"/>
        </w:rPr>
      </w:pPr>
      <w:r w:rsidRPr="00665FB8">
        <w:rPr>
          <w:rFonts w:ascii="Calibri" w:hAnsi="Calibri" w:cs="Calibri"/>
          <w:b/>
          <w:color w:val="13576B"/>
        </w:rPr>
        <w:t xml:space="preserve">Praha, </w:t>
      </w:r>
      <w:r w:rsidR="006F0C77">
        <w:rPr>
          <w:rFonts w:ascii="Calibri" w:hAnsi="Calibri" w:cs="Calibri"/>
          <w:b/>
          <w:color w:val="13576B"/>
        </w:rPr>
        <w:t>4</w:t>
      </w:r>
      <w:r w:rsidRPr="00665FB8">
        <w:rPr>
          <w:rFonts w:ascii="Calibri" w:hAnsi="Calibri" w:cs="Calibri"/>
          <w:b/>
          <w:color w:val="13576B"/>
        </w:rPr>
        <w:t xml:space="preserve">. </w:t>
      </w:r>
      <w:r w:rsidR="00F4545B">
        <w:rPr>
          <w:rFonts w:ascii="Calibri" w:hAnsi="Calibri" w:cs="Calibri"/>
          <w:b/>
          <w:color w:val="13576B"/>
        </w:rPr>
        <w:t>května</w:t>
      </w:r>
      <w:r w:rsidRPr="00665FB8">
        <w:rPr>
          <w:rFonts w:ascii="Calibri" w:hAnsi="Calibri" w:cs="Calibri"/>
          <w:b/>
          <w:color w:val="13576B"/>
        </w:rPr>
        <w:t xml:space="preserve"> 2021</w:t>
      </w:r>
    </w:p>
    <w:p w14:paraId="02FE8FD6" w14:textId="77777777" w:rsidR="00E0225E" w:rsidRPr="0078283C" w:rsidRDefault="00E0225E">
      <w:pPr>
        <w:rPr>
          <w:b/>
          <w:bCs/>
          <w:sz w:val="24"/>
          <w:szCs w:val="24"/>
        </w:rPr>
      </w:pPr>
    </w:p>
    <w:p w14:paraId="1C5E8ADC" w14:textId="07BDD344" w:rsidR="0071257B" w:rsidRDefault="00780304">
      <w:pPr>
        <w:rPr>
          <w:sz w:val="24"/>
          <w:szCs w:val="24"/>
        </w:rPr>
      </w:pPr>
      <w:r>
        <w:rPr>
          <w:sz w:val="24"/>
          <w:szCs w:val="24"/>
        </w:rPr>
        <w:t xml:space="preserve">Dle statistik České národní banky (ČNB) se v březnu </w:t>
      </w:r>
      <w:r w:rsidR="0071257B">
        <w:rPr>
          <w:sz w:val="24"/>
          <w:szCs w:val="24"/>
        </w:rPr>
        <w:t>podíl nevýkonných úvěrů na celkové sumě úvěrů</w:t>
      </w:r>
      <w:r w:rsidR="00995F02">
        <w:rPr>
          <w:sz w:val="24"/>
          <w:szCs w:val="24"/>
        </w:rPr>
        <w:t xml:space="preserve"> </w:t>
      </w:r>
      <w:r>
        <w:rPr>
          <w:sz w:val="24"/>
          <w:szCs w:val="24"/>
        </w:rPr>
        <w:t xml:space="preserve">oproti únoru ve všech kategoriích </w:t>
      </w:r>
      <w:r w:rsidR="00995F02">
        <w:rPr>
          <w:sz w:val="24"/>
          <w:szCs w:val="24"/>
        </w:rPr>
        <w:t>o něco</w:t>
      </w:r>
      <w:r w:rsidR="00303429">
        <w:rPr>
          <w:sz w:val="24"/>
          <w:szCs w:val="24"/>
        </w:rPr>
        <w:t xml:space="preserve"> </w:t>
      </w:r>
      <w:r w:rsidR="005555A4">
        <w:rPr>
          <w:sz w:val="24"/>
          <w:szCs w:val="24"/>
        </w:rPr>
        <w:t>zvětšil</w:t>
      </w:r>
      <w:r w:rsidR="00E0225E">
        <w:rPr>
          <w:sz w:val="24"/>
          <w:szCs w:val="24"/>
        </w:rPr>
        <w:t xml:space="preserve">. </w:t>
      </w:r>
    </w:p>
    <w:p w14:paraId="5EEA25D0" w14:textId="77777777" w:rsidR="00E0225E" w:rsidRDefault="00E0225E">
      <w:pPr>
        <w:rPr>
          <w:sz w:val="24"/>
          <w:szCs w:val="24"/>
        </w:rPr>
      </w:pPr>
    </w:p>
    <w:tbl>
      <w:tblPr>
        <w:tblStyle w:val="Mkatabulky"/>
        <w:tblW w:w="0" w:type="auto"/>
        <w:jc w:val="center"/>
        <w:tblLook w:val="04A0" w:firstRow="1" w:lastRow="0" w:firstColumn="1" w:lastColumn="0" w:noHBand="0" w:noVBand="1"/>
      </w:tblPr>
      <w:tblGrid>
        <w:gridCol w:w="2992"/>
        <w:gridCol w:w="1725"/>
        <w:gridCol w:w="1624"/>
      </w:tblGrid>
      <w:tr w:rsidR="00E0225E" w14:paraId="13FC67B4" w14:textId="77777777" w:rsidTr="00767B97">
        <w:trPr>
          <w:trHeight w:val="372"/>
          <w:jc w:val="center"/>
        </w:trPr>
        <w:tc>
          <w:tcPr>
            <w:tcW w:w="2992" w:type="dxa"/>
            <w:shd w:val="clear" w:color="auto" w:fill="13576B"/>
            <w:vAlign w:val="center"/>
          </w:tcPr>
          <w:p w14:paraId="6B490926" w14:textId="77777777" w:rsidR="00E0225E" w:rsidRPr="00665FB8" w:rsidRDefault="00E0225E" w:rsidP="00767B97">
            <w:pPr>
              <w:rPr>
                <w:rFonts w:ascii="Calibri" w:hAnsi="Calibri" w:cs="Calibri"/>
                <w:b/>
                <w:bCs/>
                <w:color w:val="FFFFFF" w:themeColor="background1"/>
              </w:rPr>
            </w:pPr>
          </w:p>
        </w:tc>
        <w:tc>
          <w:tcPr>
            <w:tcW w:w="1725" w:type="dxa"/>
            <w:shd w:val="clear" w:color="auto" w:fill="13576B"/>
            <w:vAlign w:val="center"/>
          </w:tcPr>
          <w:p w14:paraId="6BF0F14F" w14:textId="47A1E537" w:rsidR="00E0225E" w:rsidRPr="00665FB8" w:rsidRDefault="00E0225E" w:rsidP="00767B97">
            <w:pPr>
              <w:jc w:val="center"/>
              <w:rPr>
                <w:rFonts w:ascii="Calibri" w:hAnsi="Calibri" w:cs="Calibri"/>
                <w:b/>
                <w:bCs/>
                <w:color w:val="FFFFFF" w:themeColor="background1"/>
              </w:rPr>
            </w:pPr>
            <w:r>
              <w:rPr>
                <w:rFonts w:ascii="Calibri" w:hAnsi="Calibri" w:cs="Calibri"/>
                <w:b/>
                <w:bCs/>
                <w:color w:val="FFFFFF" w:themeColor="background1"/>
              </w:rPr>
              <w:t>únor</w:t>
            </w:r>
            <w:r w:rsidRPr="00665FB8">
              <w:rPr>
                <w:rFonts w:ascii="Calibri" w:hAnsi="Calibri" w:cs="Calibri"/>
                <w:b/>
                <w:bCs/>
                <w:color w:val="FFFFFF" w:themeColor="background1"/>
              </w:rPr>
              <w:t xml:space="preserve"> 202</w:t>
            </w:r>
            <w:r>
              <w:rPr>
                <w:rFonts w:ascii="Calibri" w:hAnsi="Calibri" w:cs="Calibri"/>
                <w:b/>
                <w:bCs/>
                <w:color w:val="FFFFFF" w:themeColor="background1"/>
              </w:rPr>
              <w:t>1</w:t>
            </w:r>
          </w:p>
        </w:tc>
        <w:tc>
          <w:tcPr>
            <w:tcW w:w="1624" w:type="dxa"/>
            <w:shd w:val="clear" w:color="auto" w:fill="13576B"/>
            <w:vAlign w:val="center"/>
          </w:tcPr>
          <w:p w14:paraId="1566634E" w14:textId="32A6121C" w:rsidR="00E0225E" w:rsidRPr="00665FB8" w:rsidRDefault="00E0225E" w:rsidP="00767B97">
            <w:pPr>
              <w:jc w:val="center"/>
              <w:rPr>
                <w:rFonts w:ascii="Calibri" w:hAnsi="Calibri" w:cs="Calibri"/>
                <w:b/>
                <w:bCs/>
                <w:color w:val="FFFFFF" w:themeColor="background1"/>
              </w:rPr>
            </w:pPr>
            <w:r>
              <w:rPr>
                <w:rFonts w:ascii="Calibri" w:hAnsi="Calibri" w:cs="Calibri"/>
                <w:b/>
                <w:bCs/>
                <w:color w:val="FFFFFF" w:themeColor="background1"/>
              </w:rPr>
              <w:t>březen</w:t>
            </w:r>
            <w:r w:rsidRPr="00665FB8">
              <w:rPr>
                <w:rFonts w:ascii="Calibri" w:hAnsi="Calibri" w:cs="Calibri"/>
                <w:b/>
                <w:bCs/>
                <w:color w:val="FFFFFF" w:themeColor="background1"/>
              </w:rPr>
              <w:t xml:space="preserve"> 2021</w:t>
            </w:r>
          </w:p>
        </w:tc>
      </w:tr>
      <w:tr w:rsidR="00E0225E" w14:paraId="2FF4D5FB" w14:textId="77777777" w:rsidTr="00767B97">
        <w:trPr>
          <w:trHeight w:val="372"/>
          <w:jc w:val="center"/>
        </w:trPr>
        <w:tc>
          <w:tcPr>
            <w:tcW w:w="2992" w:type="dxa"/>
            <w:shd w:val="clear" w:color="auto" w:fill="13576B"/>
            <w:vAlign w:val="center"/>
          </w:tcPr>
          <w:p w14:paraId="552318FD" w14:textId="77777777" w:rsidR="00E0225E" w:rsidRPr="00665FB8" w:rsidRDefault="00E0225E" w:rsidP="00767B97">
            <w:pPr>
              <w:rPr>
                <w:rFonts w:ascii="Calibri" w:hAnsi="Calibri" w:cs="Calibri"/>
                <w:b/>
                <w:bCs/>
                <w:color w:val="FFFFFF" w:themeColor="background1"/>
              </w:rPr>
            </w:pPr>
            <w:r w:rsidRPr="00665FB8">
              <w:rPr>
                <w:rFonts w:ascii="Calibri" w:hAnsi="Calibri" w:cs="Calibri"/>
                <w:b/>
                <w:bCs/>
                <w:color w:val="FFFFFF" w:themeColor="background1"/>
              </w:rPr>
              <w:t>Domácnosti, spotřební úvěry</w:t>
            </w:r>
          </w:p>
        </w:tc>
        <w:tc>
          <w:tcPr>
            <w:tcW w:w="1725" w:type="dxa"/>
            <w:vAlign w:val="center"/>
          </w:tcPr>
          <w:p w14:paraId="3E828F61" w14:textId="3D543CC2" w:rsidR="00E0225E" w:rsidRDefault="00E0225E" w:rsidP="00767B97">
            <w:pPr>
              <w:jc w:val="center"/>
              <w:rPr>
                <w:rFonts w:ascii="Calibri" w:hAnsi="Calibri" w:cs="Calibri"/>
              </w:rPr>
            </w:pPr>
            <w:r w:rsidRPr="00665FB8">
              <w:rPr>
                <w:rFonts w:ascii="Calibri" w:hAnsi="Calibri" w:cs="Calibri"/>
              </w:rPr>
              <w:t>5,43</w:t>
            </w:r>
            <w:r>
              <w:rPr>
                <w:rFonts w:ascii="Calibri" w:hAnsi="Calibri" w:cs="Calibri"/>
              </w:rPr>
              <w:t xml:space="preserve"> %</w:t>
            </w:r>
          </w:p>
        </w:tc>
        <w:tc>
          <w:tcPr>
            <w:tcW w:w="1624" w:type="dxa"/>
            <w:vAlign w:val="center"/>
          </w:tcPr>
          <w:p w14:paraId="31C3648A" w14:textId="4BEF7CC1" w:rsidR="00E0225E" w:rsidRDefault="00E0225E" w:rsidP="00767B97">
            <w:pPr>
              <w:jc w:val="center"/>
              <w:rPr>
                <w:rFonts w:ascii="Calibri" w:hAnsi="Calibri" w:cs="Calibri"/>
              </w:rPr>
            </w:pPr>
            <w:r w:rsidRPr="00665FB8">
              <w:rPr>
                <w:rFonts w:ascii="Calibri" w:hAnsi="Calibri" w:cs="Calibri"/>
              </w:rPr>
              <w:t>5,</w:t>
            </w:r>
            <w:r>
              <w:rPr>
                <w:rFonts w:ascii="Calibri" w:hAnsi="Calibri" w:cs="Calibri"/>
              </w:rPr>
              <w:t>56 %</w:t>
            </w:r>
          </w:p>
        </w:tc>
      </w:tr>
      <w:tr w:rsidR="00E0225E" w14:paraId="0D19C677" w14:textId="77777777" w:rsidTr="00767B97">
        <w:trPr>
          <w:trHeight w:val="389"/>
          <w:jc w:val="center"/>
        </w:trPr>
        <w:tc>
          <w:tcPr>
            <w:tcW w:w="2992" w:type="dxa"/>
            <w:shd w:val="clear" w:color="auto" w:fill="13576B"/>
            <w:vAlign w:val="center"/>
          </w:tcPr>
          <w:p w14:paraId="5EC1BB79" w14:textId="77777777" w:rsidR="00E0225E" w:rsidRPr="00665FB8" w:rsidRDefault="00E0225E" w:rsidP="00767B97">
            <w:pPr>
              <w:rPr>
                <w:rFonts w:ascii="Calibri" w:hAnsi="Calibri" w:cs="Calibri"/>
                <w:b/>
                <w:bCs/>
                <w:color w:val="FFFFFF" w:themeColor="background1"/>
              </w:rPr>
            </w:pPr>
            <w:r w:rsidRPr="00665FB8">
              <w:rPr>
                <w:rFonts w:ascii="Calibri" w:hAnsi="Calibri" w:cs="Calibri"/>
                <w:b/>
                <w:bCs/>
                <w:color w:val="FFFFFF" w:themeColor="background1"/>
              </w:rPr>
              <w:t xml:space="preserve">Domácnosti, hypoteční úvěry                                              </w:t>
            </w:r>
          </w:p>
        </w:tc>
        <w:tc>
          <w:tcPr>
            <w:tcW w:w="1725" w:type="dxa"/>
            <w:vAlign w:val="center"/>
          </w:tcPr>
          <w:p w14:paraId="49420120" w14:textId="4779CEA3" w:rsidR="00E0225E" w:rsidRDefault="00E0225E" w:rsidP="00767B97">
            <w:pPr>
              <w:jc w:val="center"/>
              <w:rPr>
                <w:rFonts w:ascii="Calibri" w:hAnsi="Calibri" w:cs="Calibri"/>
              </w:rPr>
            </w:pPr>
            <w:r w:rsidRPr="00665FB8">
              <w:rPr>
                <w:rFonts w:ascii="Calibri" w:hAnsi="Calibri" w:cs="Calibri"/>
              </w:rPr>
              <w:t>0,91</w:t>
            </w:r>
            <w:r>
              <w:rPr>
                <w:rFonts w:ascii="Calibri" w:hAnsi="Calibri" w:cs="Calibri"/>
              </w:rPr>
              <w:t xml:space="preserve"> %</w:t>
            </w:r>
          </w:p>
        </w:tc>
        <w:tc>
          <w:tcPr>
            <w:tcW w:w="1624" w:type="dxa"/>
            <w:vAlign w:val="center"/>
          </w:tcPr>
          <w:p w14:paraId="0431FF3F" w14:textId="202478D0" w:rsidR="00E0225E" w:rsidRDefault="00E0225E" w:rsidP="00767B97">
            <w:pPr>
              <w:jc w:val="center"/>
              <w:rPr>
                <w:rFonts w:ascii="Calibri" w:hAnsi="Calibri" w:cs="Calibri"/>
              </w:rPr>
            </w:pPr>
            <w:r w:rsidRPr="00665FB8">
              <w:rPr>
                <w:rFonts w:ascii="Calibri" w:hAnsi="Calibri" w:cs="Calibri"/>
              </w:rPr>
              <w:t>0,9</w:t>
            </w:r>
            <w:r>
              <w:rPr>
                <w:rFonts w:ascii="Calibri" w:hAnsi="Calibri" w:cs="Calibri"/>
              </w:rPr>
              <w:t>3 %</w:t>
            </w:r>
          </w:p>
        </w:tc>
      </w:tr>
      <w:tr w:rsidR="00E0225E" w14:paraId="342C6432" w14:textId="77777777" w:rsidTr="00767B97">
        <w:trPr>
          <w:trHeight w:val="372"/>
          <w:jc w:val="center"/>
        </w:trPr>
        <w:tc>
          <w:tcPr>
            <w:tcW w:w="2992" w:type="dxa"/>
            <w:shd w:val="clear" w:color="auto" w:fill="13576B"/>
            <w:vAlign w:val="center"/>
          </w:tcPr>
          <w:p w14:paraId="30DF8E03" w14:textId="77777777" w:rsidR="00E0225E" w:rsidRPr="00665FB8" w:rsidRDefault="00E0225E" w:rsidP="00767B97">
            <w:pPr>
              <w:rPr>
                <w:rFonts w:ascii="Calibri" w:hAnsi="Calibri" w:cs="Calibri"/>
                <w:b/>
                <w:bCs/>
                <w:color w:val="FFFFFF" w:themeColor="background1"/>
              </w:rPr>
            </w:pPr>
            <w:r w:rsidRPr="00665FB8">
              <w:rPr>
                <w:rFonts w:ascii="Calibri" w:hAnsi="Calibri" w:cs="Calibri"/>
                <w:b/>
                <w:bCs/>
                <w:color w:val="FFFFFF" w:themeColor="background1"/>
              </w:rPr>
              <w:t xml:space="preserve">Podniky                                                                                    </w:t>
            </w:r>
          </w:p>
        </w:tc>
        <w:tc>
          <w:tcPr>
            <w:tcW w:w="1725" w:type="dxa"/>
            <w:vAlign w:val="center"/>
          </w:tcPr>
          <w:p w14:paraId="0B57C735" w14:textId="0781BF5E" w:rsidR="00E0225E" w:rsidRPr="00665FB8" w:rsidRDefault="00E0225E" w:rsidP="00767B97">
            <w:pPr>
              <w:jc w:val="center"/>
              <w:rPr>
                <w:rFonts w:ascii="Calibri" w:hAnsi="Calibri" w:cs="Calibri"/>
              </w:rPr>
            </w:pPr>
            <w:r w:rsidRPr="00665FB8">
              <w:rPr>
                <w:rFonts w:ascii="Calibri" w:hAnsi="Calibri" w:cs="Calibri"/>
              </w:rPr>
              <w:t>4,23</w:t>
            </w:r>
            <w:r>
              <w:rPr>
                <w:rFonts w:ascii="Calibri" w:hAnsi="Calibri" w:cs="Calibri"/>
              </w:rPr>
              <w:t xml:space="preserve"> %</w:t>
            </w:r>
          </w:p>
        </w:tc>
        <w:tc>
          <w:tcPr>
            <w:tcW w:w="1624" w:type="dxa"/>
            <w:vAlign w:val="center"/>
          </w:tcPr>
          <w:p w14:paraId="418205FC" w14:textId="50E3FD9E" w:rsidR="00E0225E" w:rsidRPr="00665FB8" w:rsidRDefault="00E0225E" w:rsidP="00767B97">
            <w:pPr>
              <w:jc w:val="center"/>
              <w:rPr>
                <w:rFonts w:ascii="Calibri" w:hAnsi="Calibri" w:cs="Calibri"/>
              </w:rPr>
            </w:pPr>
            <w:r w:rsidRPr="00665FB8">
              <w:rPr>
                <w:rFonts w:ascii="Calibri" w:hAnsi="Calibri" w:cs="Calibri"/>
              </w:rPr>
              <w:t>4,</w:t>
            </w:r>
            <w:r>
              <w:rPr>
                <w:rFonts w:ascii="Calibri" w:hAnsi="Calibri" w:cs="Calibri"/>
              </w:rPr>
              <w:t>37 %</w:t>
            </w:r>
          </w:p>
        </w:tc>
      </w:tr>
    </w:tbl>
    <w:p w14:paraId="260CAF3A" w14:textId="77777777" w:rsidR="00E0225E" w:rsidRPr="00665FB8" w:rsidRDefault="00E0225E" w:rsidP="00E0225E">
      <w:pPr>
        <w:rPr>
          <w:rFonts w:ascii="Calibri" w:hAnsi="Calibri" w:cs="Calibri"/>
        </w:rPr>
      </w:pPr>
      <w:r>
        <w:rPr>
          <w:noProof/>
        </w:rPr>
        <mc:AlternateContent>
          <mc:Choice Requires="wps">
            <w:drawing>
              <wp:anchor distT="0" distB="0" distL="114300" distR="114300" simplePos="0" relativeHeight="251660288" behindDoc="0" locked="0" layoutInCell="1" allowOverlap="1" wp14:anchorId="4FAB0E79" wp14:editId="15CBB629">
                <wp:simplePos x="0" y="0"/>
                <wp:positionH relativeFrom="column">
                  <wp:posOffset>3816930</wp:posOffset>
                </wp:positionH>
                <wp:positionV relativeFrom="paragraph">
                  <wp:posOffset>-2982</wp:posOffset>
                </wp:positionV>
                <wp:extent cx="1614170" cy="349858"/>
                <wp:effectExtent l="0" t="0" r="5080" b="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349858"/>
                        </a:xfrm>
                        <a:prstGeom prst="rect">
                          <a:avLst/>
                        </a:prstGeom>
                        <a:solidFill>
                          <a:srgbClr val="FFFFFF"/>
                        </a:solidFill>
                        <a:ln w="9525">
                          <a:noFill/>
                          <a:miter lim="800000"/>
                          <a:headEnd/>
                          <a:tailEnd/>
                        </a:ln>
                      </wps:spPr>
                      <wps:txbx>
                        <w:txbxContent>
                          <w:p w14:paraId="259EF0F6"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B0E79" id="_x0000_t202" coordsize="21600,21600" o:spt="202" path="m,l,21600r21600,l21600,xe">
                <v:stroke joinstyle="miter"/>
                <v:path gradientshapeok="t" o:connecttype="rect"/>
              </v:shapetype>
              <v:shape id="Textové pole 2" o:spid="_x0000_s1026" type="#_x0000_t202" style="position:absolute;left:0;text-align:left;margin-left:300.55pt;margin-top:-.25pt;width:127.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" stroked="f">
                <v:textbox>
                  <w:txbxContent>
                    <w:p w14:paraId="259EF0F6"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w:pict>
          </mc:Fallback>
        </mc:AlternateContent>
      </w:r>
      <w:r w:rsidRPr="00665FB8">
        <w:rPr>
          <w:rFonts w:ascii="Calibri" w:hAnsi="Calibri" w:cs="Calibri"/>
        </w:rPr>
        <w:t xml:space="preserve">                                   </w:t>
      </w:r>
    </w:p>
    <w:p w14:paraId="51F0CCB2" w14:textId="77777777" w:rsidR="00E0225E" w:rsidRDefault="00E0225E" w:rsidP="005555A4">
      <w:pPr>
        <w:rPr>
          <w:sz w:val="24"/>
          <w:szCs w:val="24"/>
        </w:rPr>
      </w:pPr>
    </w:p>
    <w:p w14:paraId="05A349AF" w14:textId="77777777" w:rsidR="00E0225E" w:rsidRDefault="00E0225E" w:rsidP="0071257B">
      <w:pPr>
        <w:rPr>
          <w:b/>
          <w:bCs/>
          <w:sz w:val="24"/>
          <w:szCs w:val="24"/>
        </w:rPr>
      </w:pPr>
    </w:p>
    <w:p w14:paraId="5CDC9A95" w14:textId="57B99559" w:rsidR="00466D73" w:rsidRPr="00E0225E" w:rsidRDefault="00466D73" w:rsidP="0071257B">
      <w:pPr>
        <w:rPr>
          <w:b/>
          <w:bCs/>
          <w:sz w:val="24"/>
          <w:szCs w:val="24"/>
        </w:rPr>
      </w:pPr>
      <w:r w:rsidRPr="00E0225E">
        <w:rPr>
          <w:b/>
          <w:bCs/>
          <w:sz w:val="24"/>
          <w:szCs w:val="24"/>
        </w:rPr>
        <w:t>Komentář Vladimíra Staňury</w:t>
      </w:r>
      <w:r w:rsidR="00E0225E" w:rsidRPr="00E0225E">
        <w:rPr>
          <w:b/>
          <w:bCs/>
          <w:sz w:val="24"/>
          <w:szCs w:val="24"/>
        </w:rPr>
        <w:t>, hlavního poradce ČBA</w:t>
      </w:r>
      <w:r w:rsidRPr="00E0225E">
        <w:rPr>
          <w:b/>
          <w:bCs/>
          <w:sz w:val="24"/>
          <w:szCs w:val="24"/>
        </w:rPr>
        <w:t>:</w:t>
      </w:r>
    </w:p>
    <w:p w14:paraId="544389E7" w14:textId="42F6D66C" w:rsidR="003F3E14" w:rsidRDefault="003F3E14" w:rsidP="0071257B">
      <w:pPr>
        <w:rPr>
          <w:i/>
          <w:iCs/>
          <w:sz w:val="24"/>
          <w:szCs w:val="24"/>
        </w:rPr>
      </w:pPr>
      <w:r>
        <w:rPr>
          <w:i/>
          <w:iCs/>
          <w:sz w:val="24"/>
          <w:szCs w:val="24"/>
        </w:rPr>
        <w:t xml:space="preserve">„Vývoj nevýkonných úvěrů v březnu </w:t>
      </w:r>
      <w:r w:rsidR="002173B2">
        <w:rPr>
          <w:i/>
          <w:iCs/>
          <w:sz w:val="24"/>
          <w:szCs w:val="24"/>
        </w:rPr>
        <w:t xml:space="preserve">zaznamenal </w:t>
      </w:r>
      <w:r>
        <w:rPr>
          <w:i/>
          <w:iCs/>
          <w:sz w:val="24"/>
          <w:szCs w:val="24"/>
        </w:rPr>
        <w:t xml:space="preserve">oproti únoru malé zhoršení u firemních a u spotřebních úvěrů. </w:t>
      </w:r>
      <w:r w:rsidR="00995F02">
        <w:rPr>
          <w:i/>
          <w:iCs/>
          <w:sz w:val="24"/>
          <w:szCs w:val="24"/>
        </w:rPr>
        <w:t>Hypoteční úvěry se sice</w:t>
      </w:r>
      <w:r w:rsidR="00E0225E">
        <w:rPr>
          <w:i/>
          <w:iCs/>
          <w:sz w:val="24"/>
          <w:szCs w:val="24"/>
        </w:rPr>
        <w:t xml:space="preserve"> také</w:t>
      </w:r>
      <w:r w:rsidR="00995F02">
        <w:rPr>
          <w:i/>
          <w:iCs/>
          <w:sz w:val="24"/>
          <w:szCs w:val="24"/>
        </w:rPr>
        <w:t xml:space="preserve"> zhoršily o 0,02 procentního bodu, ale celkově klienti bank při splácení hypotečních úvěrů ukazují až neuvěřitelnou odolnost vůči negativním vlivům pandemie. Ve všech třech kategoriích jsou hodnoty nevýkonných úvěrů stále historicky na velmi nízkých hodnotách.</w:t>
      </w:r>
      <w:r w:rsidR="002173B2">
        <w:rPr>
          <w:i/>
          <w:iCs/>
          <w:sz w:val="24"/>
          <w:szCs w:val="24"/>
        </w:rPr>
        <w:t>“</w:t>
      </w:r>
    </w:p>
    <w:p w14:paraId="70DBACC0" w14:textId="367F4507" w:rsidR="00E0225E" w:rsidRDefault="00E0225E" w:rsidP="0071257B">
      <w:pPr>
        <w:rPr>
          <w:i/>
          <w:iCs/>
          <w:sz w:val="24"/>
          <w:szCs w:val="24"/>
        </w:rPr>
      </w:pPr>
    </w:p>
    <w:p w14:paraId="4B87F116" w14:textId="77777777" w:rsidR="00E0225E" w:rsidRDefault="00E0225E" w:rsidP="0071257B">
      <w:pPr>
        <w:rPr>
          <w:i/>
          <w:iCs/>
          <w:sz w:val="24"/>
          <w:szCs w:val="24"/>
        </w:rPr>
      </w:pPr>
    </w:p>
    <w:p w14:paraId="71D54F7B" w14:textId="77777777" w:rsidR="00E0225E" w:rsidRPr="00665FB8" w:rsidRDefault="00E0225E" w:rsidP="00E0225E">
      <w:pPr>
        <w:rPr>
          <w:rFonts w:ascii="Calibri" w:hAnsi="Calibri" w:cs="Calibri"/>
          <w:b/>
          <w:color w:val="007E79"/>
          <w:sz w:val="24"/>
          <w:szCs w:val="24"/>
        </w:rPr>
      </w:pPr>
      <w:r w:rsidRPr="00665FB8">
        <w:rPr>
          <w:rFonts w:ascii="Calibri" w:hAnsi="Calibri" w:cs="Calibri"/>
          <w:b/>
          <w:color w:val="007E79"/>
          <w:sz w:val="24"/>
          <w:szCs w:val="24"/>
        </w:rPr>
        <w:t>Meziroční srovnání</w:t>
      </w:r>
    </w:p>
    <w:p w14:paraId="6CCB497D" w14:textId="77777777" w:rsidR="002D76C8" w:rsidRDefault="002D76C8" w:rsidP="002D76C8">
      <w:pPr>
        <w:rPr>
          <w:sz w:val="24"/>
          <w:szCs w:val="24"/>
        </w:rPr>
      </w:pPr>
    </w:p>
    <w:tbl>
      <w:tblPr>
        <w:tblStyle w:val="Mkatabulky"/>
        <w:tblW w:w="0" w:type="auto"/>
        <w:jc w:val="center"/>
        <w:tblLook w:val="04A0" w:firstRow="1" w:lastRow="0" w:firstColumn="1" w:lastColumn="0" w:noHBand="0" w:noVBand="1"/>
      </w:tblPr>
      <w:tblGrid>
        <w:gridCol w:w="2992"/>
        <w:gridCol w:w="1725"/>
        <w:gridCol w:w="1624"/>
      </w:tblGrid>
      <w:tr w:rsidR="00E0225E" w14:paraId="599B2681" w14:textId="77777777" w:rsidTr="00767B97">
        <w:trPr>
          <w:trHeight w:val="372"/>
          <w:jc w:val="center"/>
        </w:trPr>
        <w:tc>
          <w:tcPr>
            <w:tcW w:w="2992" w:type="dxa"/>
            <w:shd w:val="clear" w:color="auto" w:fill="13576B"/>
            <w:vAlign w:val="center"/>
          </w:tcPr>
          <w:p w14:paraId="3C661130" w14:textId="77777777" w:rsidR="00E0225E" w:rsidRPr="00665FB8" w:rsidRDefault="00E0225E" w:rsidP="00767B97">
            <w:pPr>
              <w:rPr>
                <w:rFonts w:ascii="Calibri" w:hAnsi="Calibri" w:cs="Calibri"/>
                <w:b/>
                <w:bCs/>
                <w:color w:val="FFFFFF" w:themeColor="background1"/>
              </w:rPr>
            </w:pPr>
          </w:p>
        </w:tc>
        <w:tc>
          <w:tcPr>
            <w:tcW w:w="1725" w:type="dxa"/>
            <w:shd w:val="clear" w:color="auto" w:fill="13576B"/>
            <w:vAlign w:val="center"/>
          </w:tcPr>
          <w:p w14:paraId="32AE29F7" w14:textId="386C044F" w:rsidR="00E0225E" w:rsidRPr="00665FB8" w:rsidRDefault="00E0225E" w:rsidP="00767B97">
            <w:pPr>
              <w:jc w:val="center"/>
              <w:rPr>
                <w:rFonts w:ascii="Calibri" w:hAnsi="Calibri" w:cs="Calibri"/>
                <w:b/>
                <w:bCs/>
                <w:color w:val="FFFFFF" w:themeColor="background1"/>
              </w:rPr>
            </w:pPr>
            <w:r>
              <w:rPr>
                <w:rFonts w:ascii="Calibri" w:hAnsi="Calibri" w:cs="Calibri"/>
                <w:b/>
                <w:bCs/>
                <w:color w:val="FFFFFF" w:themeColor="background1"/>
              </w:rPr>
              <w:t>březen</w:t>
            </w:r>
            <w:r w:rsidRPr="00665FB8">
              <w:rPr>
                <w:rFonts w:ascii="Calibri" w:hAnsi="Calibri" w:cs="Calibri"/>
                <w:b/>
                <w:bCs/>
                <w:color w:val="FFFFFF" w:themeColor="background1"/>
              </w:rPr>
              <w:t xml:space="preserve"> 2020</w:t>
            </w:r>
          </w:p>
        </w:tc>
        <w:tc>
          <w:tcPr>
            <w:tcW w:w="1624" w:type="dxa"/>
            <w:shd w:val="clear" w:color="auto" w:fill="13576B"/>
            <w:vAlign w:val="center"/>
          </w:tcPr>
          <w:p w14:paraId="5E8CC62A" w14:textId="4631EFAF" w:rsidR="00E0225E" w:rsidRPr="00665FB8" w:rsidRDefault="00E0225E" w:rsidP="00767B97">
            <w:pPr>
              <w:jc w:val="center"/>
              <w:rPr>
                <w:rFonts w:ascii="Calibri" w:hAnsi="Calibri" w:cs="Calibri"/>
                <w:b/>
                <w:bCs/>
                <w:color w:val="FFFFFF" w:themeColor="background1"/>
              </w:rPr>
            </w:pPr>
            <w:r>
              <w:rPr>
                <w:rFonts w:ascii="Calibri" w:hAnsi="Calibri" w:cs="Calibri"/>
                <w:b/>
                <w:bCs/>
                <w:color w:val="FFFFFF" w:themeColor="background1"/>
              </w:rPr>
              <w:t>březen</w:t>
            </w:r>
            <w:r w:rsidRPr="00665FB8">
              <w:rPr>
                <w:rFonts w:ascii="Calibri" w:hAnsi="Calibri" w:cs="Calibri"/>
                <w:b/>
                <w:bCs/>
                <w:color w:val="FFFFFF" w:themeColor="background1"/>
              </w:rPr>
              <w:t xml:space="preserve"> 2021</w:t>
            </w:r>
          </w:p>
        </w:tc>
      </w:tr>
      <w:tr w:rsidR="00E0225E" w14:paraId="28F7D9C1" w14:textId="77777777" w:rsidTr="00767B97">
        <w:trPr>
          <w:trHeight w:val="372"/>
          <w:jc w:val="center"/>
        </w:trPr>
        <w:tc>
          <w:tcPr>
            <w:tcW w:w="2992" w:type="dxa"/>
            <w:shd w:val="clear" w:color="auto" w:fill="13576B"/>
            <w:vAlign w:val="center"/>
          </w:tcPr>
          <w:p w14:paraId="3020F642" w14:textId="77777777" w:rsidR="00E0225E" w:rsidRPr="00665FB8" w:rsidRDefault="00E0225E" w:rsidP="00767B97">
            <w:pPr>
              <w:rPr>
                <w:rFonts w:ascii="Calibri" w:hAnsi="Calibri" w:cs="Calibri"/>
                <w:b/>
                <w:bCs/>
                <w:color w:val="FFFFFF" w:themeColor="background1"/>
              </w:rPr>
            </w:pPr>
            <w:r w:rsidRPr="00665FB8">
              <w:rPr>
                <w:rFonts w:ascii="Calibri" w:hAnsi="Calibri" w:cs="Calibri"/>
                <w:b/>
                <w:bCs/>
                <w:color w:val="FFFFFF" w:themeColor="background1"/>
              </w:rPr>
              <w:t>Domácnosti, spotřební úvěry</w:t>
            </w:r>
          </w:p>
        </w:tc>
        <w:tc>
          <w:tcPr>
            <w:tcW w:w="1725" w:type="dxa"/>
            <w:vAlign w:val="center"/>
          </w:tcPr>
          <w:p w14:paraId="7B94222E" w14:textId="0F07D65C" w:rsidR="00E0225E" w:rsidRDefault="00E0225E" w:rsidP="00767B97">
            <w:pPr>
              <w:jc w:val="center"/>
              <w:rPr>
                <w:rFonts w:ascii="Calibri" w:hAnsi="Calibri" w:cs="Calibri"/>
              </w:rPr>
            </w:pPr>
            <w:r w:rsidRPr="00665FB8">
              <w:rPr>
                <w:rFonts w:ascii="Calibri" w:hAnsi="Calibri" w:cs="Calibri"/>
              </w:rPr>
              <w:t>4,</w:t>
            </w:r>
            <w:r>
              <w:rPr>
                <w:rFonts w:ascii="Calibri" w:hAnsi="Calibri" w:cs="Calibri"/>
              </w:rPr>
              <w:t>1</w:t>
            </w:r>
            <w:r w:rsidRPr="00665FB8">
              <w:rPr>
                <w:rFonts w:ascii="Calibri" w:hAnsi="Calibri" w:cs="Calibri"/>
              </w:rPr>
              <w:t>0</w:t>
            </w:r>
            <w:r>
              <w:rPr>
                <w:rFonts w:ascii="Calibri" w:hAnsi="Calibri" w:cs="Calibri"/>
              </w:rPr>
              <w:t xml:space="preserve"> %</w:t>
            </w:r>
          </w:p>
        </w:tc>
        <w:tc>
          <w:tcPr>
            <w:tcW w:w="1624" w:type="dxa"/>
            <w:vAlign w:val="center"/>
          </w:tcPr>
          <w:p w14:paraId="7CF0479A" w14:textId="72A46A18" w:rsidR="00E0225E" w:rsidRDefault="00E0225E" w:rsidP="00767B97">
            <w:pPr>
              <w:jc w:val="center"/>
              <w:rPr>
                <w:rFonts w:ascii="Calibri" w:hAnsi="Calibri" w:cs="Calibri"/>
              </w:rPr>
            </w:pPr>
            <w:r w:rsidRPr="00665FB8">
              <w:rPr>
                <w:rFonts w:ascii="Calibri" w:hAnsi="Calibri" w:cs="Calibri"/>
              </w:rPr>
              <w:t>5,</w:t>
            </w:r>
            <w:r>
              <w:rPr>
                <w:rFonts w:ascii="Calibri" w:hAnsi="Calibri" w:cs="Calibri"/>
              </w:rPr>
              <w:t>56 %</w:t>
            </w:r>
          </w:p>
        </w:tc>
      </w:tr>
      <w:tr w:rsidR="00E0225E" w14:paraId="7B49845A" w14:textId="77777777" w:rsidTr="00767B97">
        <w:trPr>
          <w:trHeight w:val="389"/>
          <w:jc w:val="center"/>
        </w:trPr>
        <w:tc>
          <w:tcPr>
            <w:tcW w:w="2992" w:type="dxa"/>
            <w:shd w:val="clear" w:color="auto" w:fill="13576B"/>
            <w:vAlign w:val="center"/>
          </w:tcPr>
          <w:p w14:paraId="47698FDD" w14:textId="77777777" w:rsidR="00E0225E" w:rsidRPr="00665FB8" w:rsidRDefault="00E0225E" w:rsidP="00767B97">
            <w:pPr>
              <w:rPr>
                <w:rFonts w:ascii="Calibri" w:hAnsi="Calibri" w:cs="Calibri"/>
                <w:b/>
                <w:bCs/>
                <w:color w:val="FFFFFF" w:themeColor="background1"/>
              </w:rPr>
            </w:pPr>
            <w:r w:rsidRPr="00665FB8">
              <w:rPr>
                <w:rFonts w:ascii="Calibri" w:hAnsi="Calibri" w:cs="Calibri"/>
                <w:b/>
                <w:bCs/>
                <w:color w:val="FFFFFF" w:themeColor="background1"/>
              </w:rPr>
              <w:t xml:space="preserve">Domácnosti, hypoteční úvěry                                              </w:t>
            </w:r>
          </w:p>
        </w:tc>
        <w:tc>
          <w:tcPr>
            <w:tcW w:w="1725" w:type="dxa"/>
            <w:vAlign w:val="center"/>
          </w:tcPr>
          <w:p w14:paraId="37C0E774" w14:textId="20E5AC0B" w:rsidR="00E0225E" w:rsidRDefault="00E0225E" w:rsidP="00767B97">
            <w:pPr>
              <w:jc w:val="center"/>
              <w:rPr>
                <w:rFonts w:ascii="Calibri" w:hAnsi="Calibri" w:cs="Calibri"/>
              </w:rPr>
            </w:pPr>
            <w:r w:rsidRPr="00665FB8">
              <w:rPr>
                <w:rFonts w:ascii="Calibri" w:hAnsi="Calibri" w:cs="Calibri"/>
              </w:rPr>
              <w:t>0,9</w:t>
            </w:r>
            <w:r>
              <w:rPr>
                <w:rFonts w:ascii="Calibri" w:hAnsi="Calibri" w:cs="Calibri"/>
              </w:rPr>
              <w:t>0 %</w:t>
            </w:r>
          </w:p>
        </w:tc>
        <w:tc>
          <w:tcPr>
            <w:tcW w:w="1624" w:type="dxa"/>
            <w:vAlign w:val="center"/>
          </w:tcPr>
          <w:p w14:paraId="7E7C22A1" w14:textId="612F2C58" w:rsidR="00E0225E" w:rsidRDefault="00E0225E" w:rsidP="00767B97">
            <w:pPr>
              <w:jc w:val="center"/>
              <w:rPr>
                <w:rFonts w:ascii="Calibri" w:hAnsi="Calibri" w:cs="Calibri"/>
              </w:rPr>
            </w:pPr>
            <w:r w:rsidRPr="00665FB8">
              <w:rPr>
                <w:rFonts w:ascii="Calibri" w:hAnsi="Calibri" w:cs="Calibri"/>
              </w:rPr>
              <w:t>0,9</w:t>
            </w:r>
            <w:r>
              <w:rPr>
                <w:rFonts w:ascii="Calibri" w:hAnsi="Calibri" w:cs="Calibri"/>
              </w:rPr>
              <w:t>3 %</w:t>
            </w:r>
          </w:p>
        </w:tc>
      </w:tr>
      <w:tr w:rsidR="00E0225E" w14:paraId="63A1A0D7" w14:textId="77777777" w:rsidTr="00767B97">
        <w:trPr>
          <w:trHeight w:val="372"/>
          <w:jc w:val="center"/>
        </w:trPr>
        <w:tc>
          <w:tcPr>
            <w:tcW w:w="2992" w:type="dxa"/>
            <w:shd w:val="clear" w:color="auto" w:fill="13576B"/>
            <w:vAlign w:val="center"/>
          </w:tcPr>
          <w:p w14:paraId="4E67794A" w14:textId="77777777" w:rsidR="00E0225E" w:rsidRPr="00665FB8" w:rsidRDefault="00E0225E" w:rsidP="00767B97">
            <w:pPr>
              <w:rPr>
                <w:rFonts w:ascii="Calibri" w:hAnsi="Calibri" w:cs="Calibri"/>
                <w:b/>
                <w:bCs/>
                <w:color w:val="FFFFFF" w:themeColor="background1"/>
              </w:rPr>
            </w:pPr>
            <w:r w:rsidRPr="00665FB8">
              <w:rPr>
                <w:rFonts w:ascii="Calibri" w:hAnsi="Calibri" w:cs="Calibri"/>
                <w:b/>
                <w:bCs/>
                <w:color w:val="FFFFFF" w:themeColor="background1"/>
              </w:rPr>
              <w:t xml:space="preserve">Podniky                                                                                    </w:t>
            </w:r>
          </w:p>
        </w:tc>
        <w:tc>
          <w:tcPr>
            <w:tcW w:w="1725" w:type="dxa"/>
            <w:vAlign w:val="center"/>
          </w:tcPr>
          <w:p w14:paraId="72A4EAD0" w14:textId="77777777" w:rsidR="00E0225E" w:rsidRPr="00665FB8" w:rsidRDefault="00E0225E" w:rsidP="00767B97">
            <w:pPr>
              <w:jc w:val="center"/>
              <w:rPr>
                <w:rFonts w:ascii="Calibri" w:hAnsi="Calibri" w:cs="Calibri"/>
              </w:rPr>
            </w:pPr>
            <w:r w:rsidRPr="00665FB8">
              <w:rPr>
                <w:rFonts w:ascii="Calibri" w:hAnsi="Calibri" w:cs="Calibri"/>
              </w:rPr>
              <w:t>3,13</w:t>
            </w:r>
            <w:r>
              <w:rPr>
                <w:rFonts w:ascii="Calibri" w:hAnsi="Calibri" w:cs="Calibri"/>
              </w:rPr>
              <w:t xml:space="preserve"> %</w:t>
            </w:r>
          </w:p>
        </w:tc>
        <w:tc>
          <w:tcPr>
            <w:tcW w:w="1624" w:type="dxa"/>
            <w:vAlign w:val="center"/>
          </w:tcPr>
          <w:p w14:paraId="3BD13316" w14:textId="17B014B8" w:rsidR="00E0225E" w:rsidRPr="00665FB8" w:rsidRDefault="00E0225E" w:rsidP="00767B97">
            <w:pPr>
              <w:jc w:val="center"/>
              <w:rPr>
                <w:rFonts w:ascii="Calibri" w:hAnsi="Calibri" w:cs="Calibri"/>
              </w:rPr>
            </w:pPr>
            <w:r w:rsidRPr="00665FB8">
              <w:rPr>
                <w:rFonts w:ascii="Calibri" w:hAnsi="Calibri" w:cs="Calibri"/>
              </w:rPr>
              <w:t>4,</w:t>
            </w:r>
            <w:r>
              <w:rPr>
                <w:rFonts w:ascii="Calibri" w:hAnsi="Calibri" w:cs="Calibri"/>
              </w:rPr>
              <w:t>37 %</w:t>
            </w:r>
          </w:p>
        </w:tc>
      </w:tr>
    </w:tbl>
    <w:p w14:paraId="4AA44DBE" w14:textId="77777777" w:rsidR="00E0225E" w:rsidRPr="00665FB8" w:rsidRDefault="00E0225E" w:rsidP="00E0225E">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1C47529C" wp14:editId="0C4D1F5F">
                <wp:simplePos x="0" y="0"/>
                <wp:positionH relativeFrom="column">
                  <wp:posOffset>3820600</wp:posOffset>
                </wp:positionH>
                <wp:positionV relativeFrom="paragraph">
                  <wp:posOffset>20815</wp:posOffset>
                </wp:positionV>
                <wp:extent cx="1614170" cy="311499"/>
                <wp:effectExtent l="0" t="0" r="508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311499"/>
                        </a:xfrm>
                        <a:prstGeom prst="rect">
                          <a:avLst/>
                        </a:prstGeom>
                        <a:solidFill>
                          <a:srgbClr val="FFFFFF"/>
                        </a:solidFill>
                        <a:ln w="9525">
                          <a:noFill/>
                          <a:miter lim="800000"/>
                          <a:headEnd/>
                          <a:tailEnd/>
                        </a:ln>
                      </wps:spPr>
                      <wps:txbx>
                        <w:txbxContent>
                          <w:p w14:paraId="08557E78"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7529C" id="_x0000_s1027" type="#_x0000_t202" style="position:absolute;left:0;text-align:left;margin-left:300.85pt;margin-top:1.65pt;width:127.1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" stroked="f">
                <v:textbox>
                  <w:txbxContent>
                    <w:p w14:paraId="08557E78"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w:pict>
          </mc:Fallback>
        </mc:AlternateContent>
      </w:r>
    </w:p>
    <w:p w14:paraId="710FDB1B" w14:textId="77777777" w:rsidR="00E0225E" w:rsidRDefault="00E0225E" w:rsidP="002D76C8">
      <w:pPr>
        <w:rPr>
          <w:sz w:val="24"/>
          <w:szCs w:val="24"/>
        </w:rPr>
      </w:pPr>
    </w:p>
    <w:p w14:paraId="34FE26B9" w14:textId="1175613D" w:rsidR="00E0225E" w:rsidRDefault="00E0225E">
      <w:pPr>
        <w:rPr>
          <w:sz w:val="24"/>
          <w:szCs w:val="24"/>
        </w:rPr>
      </w:pPr>
    </w:p>
    <w:p w14:paraId="304B9788" w14:textId="214D7388" w:rsidR="00546BA1" w:rsidRPr="00E0225E" w:rsidRDefault="00546BA1">
      <w:pPr>
        <w:rPr>
          <w:b/>
          <w:bCs/>
          <w:sz w:val="24"/>
          <w:szCs w:val="24"/>
        </w:rPr>
      </w:pPr>
      <w:r w:rsidRPr="00E0225E">
        <w:rPr>
          <w:b/>
          <w:bCs/>
          <w:sz w:val="24"/>
          <w:szCs w:val="24"/>
        </w:rPr>
        <w:t>Komentář Vladimír</w:t>
      </w:r>
      <w:r w:rsidR="00E0225E" w:rsidRPr="00E0225E">
        <w:rPr>
          <w:b/>
          <w:bCs/>
          <w:sz w:val="24"/>
          <w:szCs w:val="24"/>
        </w:rPr>
        <w:t>a</w:t>
      </w:r>
      <w:r w:rsidRPr="00E0225E">
        <w:rPr>
          <w:b/>
          <w:bCs/>
          <w:sz w:val="24"/>
          <w:szCs w:val="24"/>
        </w:rPr>
        <w:t xml:space="preserve"> Staňury</w:t>
      </w:r>
      <w:r w:rsidR="00E0225E" w:rsidRPr="00E0225E">
        <w:rPr>
          <w:b/>
          <w:bCs/>
          <w:sz w:val="24"/>
          <w:szCs w:val="24"/>
        </w:rPr>
        <w:t>, hlavního poradce ČBA</w:t>
      </w:r>
      <w:r w:rsidRPr="00E0225E">
        <w:rPr>
          <w:b/>
          <w:bCs/>
          <w:sz w:val="24"/>
          <w:szCs w:val="24"/>
        </w:rPr>
        <w:t>:</w:t>
      </w:r>
    </w:p>
    <w:p w14:paraId="0C454478" w14:textId="3F2F419D" w:rsidR="002173B2" w:rsidRDefault="00546BA1">
      <w:pPr>
        <w:rPr>
          <w:i/>
          <w:iCs/>
          <w:sz w:val="24"/>
          <w:szCs w:val="24"/>
        </w:rPr>
      </w:pPr>
      <w:r>
        <w:rPr>
          <w:i/>
          <w:iCs/>
          <w:sz w:val="24"/>
          <w:szCs w:val="24"/>
        </w:rPr>
        <w:t>„</w:t>
      </w:r>
      <w:r w:rsidR="00E0225E">
        <w:rPr>
          <w:i/>
          <w:iCs/>
          <w:sz w:val="24"/>
          <w:szCs w:val="24"/>
        </w:rPr>
        <w:t>Meziroční s</w:t>
      </w:r>
      <w:r w:rsidR="002173B2">
        <w:rPr>
          <w:i/>
          <w:iCs/>
          <w:sz w:val="24"/>
          <w:szCs w:val="24"/>
        </w:rPr>
        <w:t xml:space="preserve">rovnání nevýkonných úvěrů ukazuje zhoršení u spotřebních úvěrů o 1,46 procentního bodu a u firemních úvěrů o 1,24 procentního bodu. To je sice znatelné zhoršení, ale není to důvod ke znepokojení. </w:t>
      </w:r>
      <w:r w:rsidR="005D20A4">
        <w:rPr>
          <w:i/>
          <w:iCs/>
          <w:sz w:val="24"/>
          <w:szCs w:val="24"/>
        </w:rPr>
        <w:t>Březen</w:t>
      </w:r>
      <w:r w:rsidR="002173B2">
        <w:rPr>
          <w:i/>
          <w:iCs/>
          <w:sz w:val="24"/>
          <w:szCs w:val="24"/>
        </w:rPr>
        <w:t xml:space="preserve"> 2020</w:t>
      </w:r>
      <w:r w:rsidR="005D20A4">
        <w:rPr>
          <w:i/>
          <w:iCs/>
          <w:sz w:val="24"/>
          <w:szCs w:val="24"/>
        </w:rPr>
        <w:t xml:space="preserve"> byl totiž měsícem</w:t>
      </w:r>
      <w:r w:rsidR="00991CDD">
        <w:rPr>
          <w:i/>
          <w:iCs/>
          <w:sz w:val="24"/>
          <w:szCs w:val="24"/>
        </w:rPr>
        <w:t>, kdy</w:t>
      </w:r>
      <w:r w:rsidR="002173B2">
        <w:rPr>
          <w:i/>
          <w:iCs/>
          <w:sz w:val="24"/>
          <w:szCs w:val="24"/>
        </w:rPr>
        <w:t xml:space="preserve"> hodnoty nevýkonných úvěrů byly </w:t>
      </w:r>
      <w:r w:rsidR="00991CDD">
        <w:rPr>
          <w:i/>
          <w:iCs/>
          <w:sz w:val="24"/>
          <w:szCs w:val="24"/>
        </w:rPr>
        <w:t xml:space="preserve">historicky </w:t>
      </w:r>
      <w:r w:rsidR="002173B2">
        <w:rPr>
          <w:i/>
          <w:iCs/>
          <w:sz w:val="24"/>
          <w:szCs w:val="24"/>
        </w:rPr>
        <w:t xml:space="preserve">jedny z nejnižších vůbec. </w:t>
      </w:r>
      <w:r w:rsidR="00991CDD">
        <w:rPr>
          <w:i/>
          <w:iCs/>
          <w:sz w:val="24"/>
          <w:szCs w:val="24"/>
        </w:rPr>
        <w:lastRenderedPageBreak/>
        <w:t>Do budoucna se dá</w:t>
      </w:r>
      <w:r w:rsidR="002173B2">
        <w:rPr>
          <w:i/>
          <w:iCs/>
          <w:sz w:val="24"/>
          <w:szCs w:val="24"/>
        </w:rPr>
        <w:t xml:space="preserve"> očekávat postupné zhoršování. Banky mají pro t</w:t>
      </w:r>
      <w:r w:rsidR="00991CDD">
        <w:rPr>
          <w:i/>
          <w:iCs/>
          <w:sz w:val="24"/>
          <w:szCs w:val="24"/>
        </w:rPr>
        <w:t>akovou</w:t>
      </w:r>
      <w:r w:rsidR="002173B2">
        <w:rPr>
          <w:i/>
          <w:iCs/>
          <w:sz w:val="24"/>
          <w:szCs w:val="24"/>
        </w:rPr>
        <w:t xml:space="preserve"> situaci vytvořen</w:t>
      </w:r>
      <w:r w:rsidR="00991CDD">
        <w:rPr>
          <w:i/>
          <w:iCs/>
          <w:sz w:val="24"/>
          <w:szCs w:val="24"/>
        </w:rPr>
        <w:t>o</w:t>
      </w:r>
      <w:r w:rsidR="002173B2">
        <w:rPr>
          <w:i/>
          <w:iCs/>
          <w:sz w:val="24"/>
          <w:szCs w:val="24"/>
        </w:rPr>
        <w:t xml:space="preserve"> </w:t>
      </w:r>
      <w:r w:rsidR="00995F02">
        <w:rPr>
          <w:i/>
          <w:iCs/>
          <w:sz w:val="24"/>
          <w:szCs w:val="24"/>
        </w:rPr>
        <w:t>z </w:t>
      </w:r>
      <w:r w:rsidR="00E0225E">
        <w:rPr>
          <w:i/>
          <w:iCs/>
          <w:sz w:val="24"/>
          <w:szCs w:val="24"/>
        </w:rPr>
        <w:t>minulého</w:t>
      </w:r>
      <w:r w:rsidR="00995F02">
        <w:rPr>
          <w:i/>
          <w:iCs/>
          <w:sz w:val="24"/>
          <w:szCs w:val="24"/>
        </w:rPr>
        <w:t xml:space="preserve"> roku</w:t>
      </w:r>
      <w:r w:rsidR="002173B2">
        <w:rPr>
          <w:i/>
          <w:iCs/>
          <w:sz w:val="24"/>
          <w:szCs w:val="24"/>
        </w:rPr>
        <w:t xml:space="preserve"> velké množství oprávek. Stálo je to sice dramatické snížení zisku v r. 2020, ale za</w:t>
      </w:r>
      <w:r w:rsidR="00995F02">
        <w:rPr>
          <w:i/>
          <w:iCs/>
          <w:sz w:val="24"/>
          <w:szCs w:val="24"/>
        </w:rPr>
        <w:t xml:space="preserve"> </w:t>
      </w:r>
      <w:r w:rsidR="002173B2">
        <w:rPr>
          <w:i/>
          <w:iCs/>
          <w:sz w:val="24"/>
          <w:szCs w:val="24"/>
        </w:rPr>
        <w:t xml:space="preserve">to jsou připraveny na to, kdyby se situace po ukončení vládních pomocí zhoršila. Já žádné razantní zhoršení neočekávám, ale </w:t>
      </w:r>
      <w:r w:rsidR="00995F02">
        <w:rPr>
          <w:i/>
          <w:iCs/>
          <w:sz w:val="24"/>
          <w:szCs w:val="24"/>
        </w:rPr>
        <w:t xml:space="preserve">i </w:t>
      </w:r>
      <w:r w:rsidR="002173B2">
        <w:rPr>
          <w:i/>
          <w:iCs/>
          <w:sz w:val="24"/>
          <w:szCs w:val="24"/>
        </w:rPr>
        <w:t>na tuto variantu jsou banky připraveny</w:t>
      </w:r>
      <w:r w:rsidR="00E0225E">
        <w:rPr>
          <w:i/>
          <w:iCs/>
          <w:sz w:val="24"/>
          <w:szCs w:val="24"/>
        </w:rPr>
        <w:t>.</w:t>
      </w:r>
      <w:r w:rsidR="002173B2">
        <w:rPr>
          <w:i/>
          <w:iCs/>
          <w:sz w:val="24"/>
          <w:szCs w:val="24"/>
        </w:rPr>
        <w:t>“</w:t>
      </w:r>
    </w:p>
    <w:p w14:paraId="50878A46" w14:textId="77777777" w:rsidR="00546BA1" w:rsidRDefault="00546BA1">
      <w:pPr>
        <w:rPr>
          <w:b/>
          <w:bCs/>
          <w:sz w:val="24"/>
          <w:szCs w:val="24"/>
        </w:rPr>
      </w:pPr>
    </w:p>
    <w:p w14:paraId="2C8F494E" w14:textId="77777777" w:rsidR="00546BA1" w:rsidRDefault="00546BA1">
      <w:pPr>
        <w:rPr>
          <w:b/>
          <w:bCs/>
          <w:sz w:val="24"/>
          <w:szCs w:val="24"/>
        </w:rPr>
      </w:pPr>
    </w:p>
    <w:p w14:paraId="44D0BBEE" w14:textId="77777777" w:rsidR="00E01B46" w:rsidRDefault="00D277CE">
      <w:pPr>
        <w:rPr>
          <w:b/>
          <w:bCs/>
          <w:sz w:val="24"/>
          <w:szCs w:val="24"/>
        </w:rPr>
      </w:pPr>
      <w:r>
        <w:rPr>
          <w:b/>
          <w:bCs/>
          <w:sz w:val="24"/>
          <w:szCs w:val="24"/>
        </w:rPr>
        <w:t>Nevýkonné úvěry</w:t>
      </w:r>
      <w:r w:rsidR="00043E6C">
        <w:rPr>
          <w:b/>
          <w:bCs/>
          <w:sz w:val="24"/>
          <w:szCs w:val="24"/>
        </w:rPr>
        <w:t xml:space="preserve"> jako podíl v % </w:t>
      </w:r>
      <w:r w:rsidR="00B12809">
        <w:rPr>
          <w:b/>
          <w:bCs/>
          <w:sz w:val="24"/>
          <w:szCs w:val="24"/>
        </w:rPr>
        <w:t xml:space="preserve">k </w:t>
      </w:r>
      <w:r w:rsidR="00043E6C">
        <w:rPr>
          <w:b/>
          <w:bCs/>
          <w:sz w:val="24"/>
          <w:szCs w:val="24"/>
        </w:rPr>
        <w:t>sumě úvěrů</w:t>
      </w:r>
      <w:r>
        <w:rPr>
          <w:b/>
          <w:bCs/>
          <w:sz w:val="24"/>
          <w:szCs w:val="24"/>
        </w:rPr>
        <w:t xml:space="preserve"> k</w:t>
      </w:r>
      <w:r w:rsidR="003F3E14">
        <w:rPr>
          <w:b/>
          <w:bCs/>
          <w:sz w:val="24"/>
          <w:szCs w:val="24"/>
        </w:rPr>
        <w:t> 31.3</w:t>
      </w:r>
      <w:r w:rsidR="00303429">
        <w:rPr>
          <w:b/>
          <w:bCs/>
          <w:sz w:val="24"/>
          <w:szCs w:val="24"/>
        </w:rPr>
        <w:t>.</w:t>
      </w:r>
      <w:r w:rsidR="00A06935">
        <w:rPr>
          <w:b/>
          <w:bCs/>
          <w:sz w:val="24"/>
          <w:szCs w:val="24"/>
        </w:rPr>
        <w:t>2021</w:t>
      </w:r>
      <w:r>
        <w:rPr>
          <w:b/>
          <w:bCs/>
          <w:sz w:val="24"/>
          <w:szCs w:val="24"/>
        </w:rPr>
        <w:t xml:space="preserve"> </w:t>
      </w:r>
      <w:r w:rsidR="00E01B46">
        <w:rPr>
          <w:b/>
          <w:bCs/>
          <w:sz w:val="24"/>
          <w:szCs w:val="24"/>
        </w:rPr>
        <w:t>– č</w:t>
      </w:r>
      <w:r>
        <w:rPr>
          <w:b/>
          <w:bCs/>
          <w:sz w:val="24"/>
          <w:szCs w:val="24"/>
        </w:rPr>
        <w:t xml:space="preserve">erveně spotřební </w:t>
      </w:r>
    </w:p>
    <w:p w14:paraId="33CB0273" w14:textId="3452B8DB" w:rsidR="00D277CE" w:rsidRPr="00D277CE" w:rsidRDefault="00E01B46">
      <w:pPr>
        <w:rPr>
          <w:b/>
          <w:bCs/>
          <w:sz w:val="24"/>
          <w:szCs w:val="24"/>
        </w:rPr>
      </w:pPr>
      <w:r>
        <w:rPr>
          <w:noProof/>
        </w:rPr>
        <mc:AlternateContent>
          <mc:Choice Requires="wps">
            <w:drawing>
              <wp:anchor distT="0" distB="0" distL="114300" distR="114300" simplePos="0" relativeHeight="251664384" behindDoc="0" locked="0" layoutInCell="1" allowOverlap="1" wp14:anchorId="39D81E61" wp14:editId="15429D1F">
                <wp:simplePos x="0" y="0"/>
                <wp:positionH relativeFrom="column">
                  <wp:posOffset>3863975</wp:posOffset>
                </wp:positionH>
                <wp:positionV relativeFrom="paragraph">
                  <wp:posOffset>3089910</wp:posOffset>
                </wp:positionV>
                <wp:extent cx="1950720" cy="281940"/>
                <wp:effectExtent l="0" t="0" r="0" b="381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81940"/>
                        </a:xfrm>
                        <a:prstGeom prst="rect">
                          <a:avLst/>
                        </a:prstGeom>
                        <a:solidFill>
                          <a:srgbClr val="FFFFFF"/>
                        </a:solidFill>
                        <a:ln w="9525">
                          <a:noFill/>
                          <a:miter lim="800000"/>
                          <a:headEnd/>
                          <a:tailEnd/>
                        </a:ln>
                      </wps:spPr>
                      <wps:txbx>
                        <w:txbxContent>
                          <w:p w14:paraId="6BA7AA08"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81E61" id="_x0000_s1028" type="#_x0000_t202" style="position:absolute;left:0;text-align:left;margin-left:304.25pt;margin-top:243.3pt;width:153.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" stroked="f">
                <v:textbox>
                  <w:txbxContent>
                    <w:p w14:paraId="6BA7AA08" w14:textId="77777777" w:rsidR="00E0225E" w:rsidRPr="00F42120" w:rsidRDefault="00E0225E" w:rsidP="00E0225E">
                      <w:pPr>
                        <w:jc w:val="left"/>
                        <w:rPr>
                          <w:sz w:val="20"/>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w:pict>
          </mc:Fallback>
        </mc:AlternateContent>
      </w:r>
      <w:r>
        <w:rPr>
          <w:noProof/>
        </w:rPr>
        <w:drawing>
          <wp:anchor distT="0" distB="0" distL="114300" distR="114300" simplePos="0" relativeHeight="251658240" behindDoc="0" locked="0" layoutInCell="1" allowOverlap="1" wp14:anchorId="2C68A538" wp14:editId="1CE08038">
            <wp:simplePos x="0" y="0"/>
            <wp:positionH relativeFrom="column">
              <wp:posOffset>960755</wp:posOffset>
            </wp:positionH>
            <wp:positionV relativeFrom="paragraph">
              <wp:posOffset>241935</wp:posOffset>
            </wp:positionV>
            <wp:extent cx="4259580" cy="2912110"/>
            <wp:effectExtent l="0" t="0" r="7620" b="254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9580" cy="291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809">
        <w:rPr>
          <w:b/>
          <w:bCs/>
          <w:sz w:val="24"/>
          <w:szCs w:val="24"/>
        </w:rPr>
        <w:t>úvěry</w:t>
      </w:r>
      <w:r w:rsidR="00043E6C">
        <w:rPr>
          <w:b/>
          <w:bCs/>
          <w:sz w:val="24"/>
          <w:szCs w:val="24"/>
        </w:rPr>
        <w:t xml:space="preserve"> domácností, modře </w:t>
      </w:r>
      <w:r w:rsidR="00D277CE">
        <w:rPr>
          <w:b/>
          <w:bCs/>
          <w:sz w:val="24"/>
          <w:szCs w:val="24"/>
        </w:rPr>
        <w:t>nefinanční podniky, žlutě hypoteční úvěry domácností</w:t>
      </w:r>
    </w:p>
    <w:p w14:paraId="03C6C69D" w14:textId="3430DB30" w:rsidR="00D277CE" w:rsidRDefault="00D277CE">
      <w:pPr>
        <w:rPr>
          <w:sz w:val="24"/>
          <w:szCs w:val="24"/>
        </w:rPr>
      </w:pPr>
    </w:p>
    <w:p w14:paraId="40D7C135" w14:textId="2BF1A0A7" w:rsidR="00D308E6" w:rsidRDefault="00E01B46">
      <w:pPr>
        <w:rPr>
          <w:sz w:val="24"/>
          <w:szCs w:val="24"/>
        </w:rPr>
      </w:pPr>
      <w:r w:rsidRPr="00E01B46">
        <w:rPr>
          <w:b/>
          <w:bCs/>
          <w:noProof/>
          <w:sz w:val="24"/>
          <w:szCs w:val="24"/>
        </w:rPr>
        <mc:AlternateContent>
          <mc:Choice Requires="wps">
            <w:drawing>
              <wp:anchor distT="0" distB="0" distL="114300" distR="114300" simplePos="0" relativeHeight="251668480" behindDoc="0" locked="0" layoutInCell="1" allowOverlap="1" wp14:anchorId="15BB25B0" wp14:editId="77CC6A14">
                <wp:simplePos x="0" y="0"/>
                <wp:positionH relativeFrom="margin">
                  <wp:posOffset>-52705</wp:posOffset>
                </wp:positionH>
                <wp:positionV relativeFrom="paragraph">
                  <wp:posOffset>182245</wp:posOffset>
                </wp:positionV>
                <wp:extent cx="6574790" cy="15621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F3B02" w14:textId="77777777" w:rsidR="00E01B46" w:rsidRPr="002D4720" w:rsidRDefault="00E01B46" w:rsidP="00E01B46">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1479FFB" w14:textId="77777777" w:rsidR="00E01B46" w:rsidRPr="002D4720" w:rsidRDefault="00E01B46" w:rsidP="00E01B46">
                            <w:pPr>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hlavním poradcem České bankovní asociace. Absolvoval Vysokou školu ekonomickou v Praze a na Rotterdam School of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43D13B5F"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4CDF8786"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365EFB9E" w14:textId="77777777" w:rsidR="00E01B46" w:rsidRPr="002D4720" w:rsidRDefault="00E01B46" w:rsidP="00E01B46">
                            <w:pPr>
                              <w:spacing w:after="120" w:line="276" w:lineRule="auto"/>
                              <w:contextualSpacing/>
                              <w:rPr>
                                <w:rFonts w:ascii="Calibri" w:hAnsi="Calibri" w:cs="Calibri"/>
                              </w:rPr>
                            </w:pPr>
                          </w:p>
                          <w:p w14:paraId="74E7B15D" w14:textId="77777777" w:rsidR="00E01B46" w:rsidRPr="002D4720" w:rsidRDefault="00E01B46" w:rsidP="00E01B46">
                            <w:pPr>
                              <w:spacing w:after="120" w:line="276" w:lineRule="auto"/>
                              <w:contextualSpacing/>
                              <w:rPr>
                                <w:rFonts w:ascii="Calibri" w:hAnsi="Calibri" w:cs="Calibri"/>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25B0" id="Obdélník 5" o:spid="_x0000_s1029" style="position:absolute;left:0;text-align:left;margin-left:-4.15pt;margin-top:14.35pt;width:517.7pt;height:1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" fillcolor="#bfbfbf [2412]" stroked="f" strokeweight="1pt">
                <v:textbox inset="3mm,3mm,3mm,3mm">
                  <w:txbxContent>
                    <w:p w14:paraId="66BF3B02" w14:textId="77777777" w:rsidR="00E01B46" w:rsidRPr="002D4720" w:rsidRDefault="00E01B46" w:rsidP="00E01B46">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1479FFB" w14:textId="77777777" w:rsidR="00E01B46" w:rsidRPr="002D4720" w:rsidRDefault="00E01B46" w:rsidP="00E01B46">
                      <w:pPr>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hlavním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43D13B5F"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4CDF8786" w14:textId="77777777" w:rsidR="00E01B46" w:rsidRPr="002D4720" w:rsidRDefault="00E01B46" w:rsidP="00E01B46">
                      <w:pPr>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365EFB9E" w14:textId="77777777" w:rsidR="00E01B46" w:rsidRPr="002D4720" w:rsidRDefault="00E01B46" w:rsidP="00E01B46">
                      <w:pPr>
                        <w:spacing w:after="120" w:line="276" w:lineRule="auto"/>
                        <w:contextualSpacing/>
                        <w:rPr>
                          <w:rFonts w:ascii="Calibri" w:hAnsi="Calibri" w:cs="Calibri"/>
                        </w:rPr>
                      </w:pPr>
                    </w:p>
                    <w:p w14:paraId="74E7B15D" w14:textId="77777777" w:rsidR="00E01B46" w:rsidRPr="002D4720" w:rsidRDefault="00E01B46" w:rsidP="00E01B46">
                      <w:pPr>
                        <w:spacing w:after="120" w:line="276" w:lineRule="auto"/>
                        <w:contextualSpacing/>
                        <w:rPr>
                          <w:rFonts w:ascii="Calibri" w:hAnsi="Calibri" w:cs="Calibri"/>
                        </w:rPr>
                      </w:pPr>
                    </w:p>
                  </w:txbxContent>
                </v:textbox>
                <w10:wrap anchorx="margin"/>
              </v:rect>
            </w:pict>
          </mc:Fallback>
        </mc:AlternateContent>
      </w:r>
      <w:r w:rsidR="00D277CE">
        <w:rPr>
          <w:sz w:val="24"/>
          <w:szCs w:val="24"/>
        </w:rPr>
        <w:t xml:space="preserve">                                                                                                      </w:t>
      </w:r>
      <w:r w:rsidR="00303429">
        <w:rPr>
          <w:sz w:val="24"/>
          <w:szCs w:val="24"/>
        </w:rPr>
        <w:t xml:space="preserve">                      </w:t>
      </w:r>
    </w:p>
    <w:p w14:paraId="5CEDB312" w14:textId="073C9B27" w:rsidR="00D277CE" w:rsidRDefault="00D277CE" w:rsidP="00D308E6">
      <w:pPr>
        <w:rPr>
          <w:sz w:val="24"/>
          <w:szCs w:val="24"/>
        </w:rPr>
      </w:pPr>
    </w:p>
    <w:p w14:paraId="3B18CB6F" w14:textId="77777777" w:rsidR="00546BA1" w:rsidRDefault="00546BA1" w:rsidP="00D308E6">
      <w:pPr>
        <w:rPr>
          <w:sz w:val="24"/>
          <w:szCs w:val="24"/>
        </w:rPr>
      </w:pPr>
    </w:p>
    <w:p w14:paraId="70A785AA" w14:textId="3775CB96" w:rsidR="00D308E6" w:rsidRDefault="00D308E6" w:rsidP="00D308E6">
      <w:pPr>
        <w:rPr>
          <w:sz w:val="24"/>
          <w:szCs w:val="24"/>
        </w:rPr>
      </w:pPr>
    </w:p>
    <w:p w14:paraId="05ACD31E" w14:textId="433C778C" w:rsidR="00466D73" w:rsidRDefault="00466D73" w:rsidP="00D277CE">
      <w:pPr>
        <w:rPr>
          <w:sz w:val="24"/>
          <w:szCs w:val="24"/>
        </w:rPr>
      </w:pPr>
    </w:p>
    <w:p w14:paraId="01C30BCE" w14:textId="77777777" w:rsidR="00466D73" w:rsidRDefault="00466D73" w:rsidP="00D277CE">
      <w:pPr>
        <w:rPr>
          <w:sz w:val="24"/>
          <w:szCs w:val="24"/>
        </w:rPr>
      </w:pPr>
    </w:p>
    <w:p w14:paraId="79D9EB8A" w14:textId="558A97C7" w:rsidR="00466D73" w:rsidRDefault="00E01B46" w:rsidP="00D277CE">
      <w:pPr>
        <w:rPr>
          <w:sz w:val="24"/>
          <w:szCs w:val="24"/>
        </w:rPr>
      </w:pPr>
      <w:r w:rsidRPr="00E01B46">
        <w:rPr>
          <w:b/>
          <w:bCs/>
          <w:noProof/>
          <w:sz w:val="24"/>
          <w:szCs w:val="24"/>
        </w:rPr>
        <mc:AlternateContent>
          <mc:Choice Requires="wps">
            <w:drawing>
              <wp:anchor distT="0" distB="0" distL="114300" distR="114300" simplePos="0" relativeHeight="251667456" behindDoc="0" locked="0" layoutInCell="1" allowOverlap="1" wp14:anchorId="2BC634A7" wp14:editId="5DBDD5F6">
                <wp:simplePos x="0" y="0"/>
                <wp:positionH relativeFrom="margin">
                  <wp:posOffset>4328795</wp:posOffset>
                </wp:positionH>
                <wp:positionV relativeFrom="paragraph">
                  <wp:posOffset>612775</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62D7DC2"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2A3E4CED"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3319E495" w14:textId="77777777" w:rsidR="00E01B46" w:rsidRPr="00E01B46" w:rsidRDefault="00E01B46" w:rsidP="00E01B46">
                            <w:pPr>
                              <w:spacing w:line="276" w:lineRule="auto"/>
                              <w:jc w:val="left"/>
                              <w:rPr>
                                <w:rFonts w:ascii="Calibri" w:hAnsi="Calibri" w:cs="Calibri"/>
                                <w:b/>
                                <w:color w:val="FFFFFF" w:themeColor="background1"/>
                                <w:sz w:val="18"/>
                                <w:szCs w:val="14"/>
                              </w:rPr>
                            </w:pPr>
                          </w:p>
                          <w:p w14:paraId="036302B9" w14:textId="77777777" w:rsidR="00E01B46" w:rsidRPr="00E01B46" w:rsidRDefault="00E01B46" w:rsidP="00E01B46">
                            <w:pPr>
                              <w:spacing w:line="276" w:lineRule="auto"/>
                              <w:jc w:val="left"/>
                              <w:rPr>
                                <w:rFonts w:ascii="Calibri" w:hAnsi="Calibri" w:cs="Calibri"/>
                                <w:noProof/>
                                <w:color w:val="FFFFFF" w:themeColor="background1"/>
                                <w:sz w:val="18"/>
                                <w:szCs w:val="14"/>
                              </w:rPr>
                            </w:pPr>
                            <w:r w:rsidRPr="00E01B46">
                              <w:rPr>
                                <w:rFonts w:ascii="Calibri" w:hAnsi="Calibri" w:cs="Calibri"/>
                                <w:noProof/>
                                <w:color w:val="FFFFFF" w:themeColor="background1"/>
                                <w:sz w:val="18"/>
                                <w:szCs w:val="14"/>
                              </w:rPr>
                              <w:t xml:space="preserve">Monika Petrásková, </w:t>
                            </w:r>
                          </w:p>
                          <w:p w14:paraId="086C177A" w14:textId="77777777"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noProof/>
                                <w:color w:val="FFFFFF" w:themeColor="background1"/>
                                <w:sz w:val="18"/>
                                <w:szCs w:val="14"/>
                              </w:rPr>
                              <w:t>m</w:t>
                            </w:r>
                            <w:r w:rsidRPr="00E01B46">
                              <w:rPr>
                                <w:rFonts w:ascii="Calibri" w:hAnsi="Calibri" w:cs="Calibri"/>
                                <w:color w:val="FFFFFF" w:themeColor="background1"/>
                                <w:sz w:val="18"/>
                                <w:szCs w:val="14"/>
                              </w:rPr>
                              <w:t>anažerka PR a komunikace ČBA</w:t>
                            </w:r>
                          </w:p>
                          <w:p w14:paraId="35CD5380" w14:textId="77777777"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monika.petraskova@cbaonline.cz</w:t>
                            </w:r>
                          </w:p>
                          <w:p w14:paraId="21092779" w14:textId="77777777"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tel: + 420 733 130 282</w:t>
                            </w:r>
                          </w:p>
                          <w:p w14:paraId="773C1BDA" w14:textId="77777777" w:rsidR="00E01B46" w:rsidRPr="002D4720" w:rsidRDefault="00E01B46" w:rsidP="00E01B46">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C634A7" id="Obdélník 200" o:spid="_x0000_s1030" style="position:absolute;left:0;text-align:left;margin-left:340.85pt;margin-top:48.25pt;width:173.1pt;height:12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" fillcolor="#13576b" stroked="f">
                <v:fill opacity="56283f"/>
                <v:textbox inset="3mm,3mm,3mm,3mm">
                  <w:txbxContent>
                    <w:p w14:paraId="562D7DC2"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2A3E4CED" w14:textId="77777777" w:rsidR="00E01B46" w:rsidRPr="002D4720" w:rsidRDefault="00E01B46" w:rsidP="00E01B46">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3319E495" w14:textId="77777777" w:rsidR="00E01B46" w:rsidRPr="00E01B46" w:rsidRDefault="00E01B46" w:rsidP="00E01B46">
                      <w:pPr>
                        <w:spacing w:line="276" w:lineRule="auto"/>
                        <w:jc w:val="left"/>
                        <w:rPr>
                          <w:rFonts w:ascii="Calibri" w:hAnsi="Calibri" w:cs="Calibri"/>
                          <w:b/>
                          <w:color w:val="FFFFFF" w:themeColor="background1"/>
                          <w:sz w:val="18"/>
                          <w:szCs w:val="14"/>
                        </w:rPr>
                      </w:pPr>
                    </w:p>
                    <w:p w14:paraId="036302B9" w14:textId="77777777" w:rsidR="00E01B46" w:rsidRPr="00E01B46" w:rsidRDefault="00E01B46" w:rsidP="00E01B46">
                      <w:pPr>
                        <w:spacing w:line="276" w:lineRule="auto"/>
                        <w:jc w:val="left"/>
                        <w:rPr>
                          <w:rFonts w:ascii="Calibri" w:hAnsi="Calibri" w:cs="Calibri"/>
                          <w:noProof/>
                          <w:color w:val="FFFFFF" w:themeColor="background1"/>
                          <w:sz w:val="18"/>
                          <w:szCs w:val="14"/>
                        </w:rPr>
                      </w:pPr>
                      <w:r w:rsidRPr="00E01B46">
                        <w:rPr>
                          <w:rFonts w:ascii="Calibri" w:hAnsi="Calibri" w:cs="Calibri"/>
                          <w:noProof/>
                          <w:color w:val="FFFFFF" w:themeColor="background1"/>
                          <w:sz w:val="18"/>
                          <w:szCs w:val="14"/>
                        </w:rPr>
                        <w:t xml:space="preserve">Monika Petrásková, </w:t>
                      </w:r>
                    </w:p>
                    <w:p w14:paraId="086C177A" w14:textId="77777777"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noProof/>
                          <w:color w:val="FFFFFF" w:themeColor="background1"/>
                          <w:sz w:val="18"/>
                          <w:szCs w:val="14"/>
                        </w:rPr>
                        <w:t>m</w:t>
                      </w:r>
                      <w:proofErr w:type="spellStart"/>
                      <w:r w:rsidRPr="00E01B46">
                        <w:rPr>
                          <w:rFonts w:ascii="Calibri" w:hAnsi="Calibri" w:cs="Calibri"/>
                          <w:color w:val="FFFFFF" w:themeColor="background1"/>
                          <w:sz w:val="18"/>
                          <w:szCs w:val="14"/>
                        </w:rPr>
                        <w:t>anažerka</w:t>
                      </w:r>
                      <w:proofErr w:type="spellEnd"/>
                      <w:r w:rsidRPr="00E01B46">
                        <w:rPr>
                          <w:rFonts w:ascii="Calibri" w:hAnsi="Calibri" w:cs="Calibri"/>
                          <w:color w:val="FFFFFF" w:themeColor="background1"/>
                          <w:sz w:val="18"/>
                          <w:szCs w:val="14"/>
                        </w:rPr>
                        <w:t xml:space="preserve"> PR a komunikace ČBA</w:t>
                      </w:r>
                    </w:p>
                    <w:p w14:paraId="35CD5380" w14:textId="77777777"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monika.petraskova@cbaonline.cz</w:t>
                      </w:r>
                    </w:p>
                    <w:p w14:paraId="21092779" w14:textId="77777777" w:rsidR="00E01B46" w:rsidRPr="00E01B46" w:rsidRDefault="00E01B46" w:rsidP="00E01B46">
                      <w:pPr>
                        <w:spacing w:line="276" w:lineRule="auto"/>
                        <w:jc w:val="left"/>
                        <w:rPr>
                          <w:rFonts w:ascii="Calibri" w:hAnsi="Calibri" w:cs="Calibri"/>
                          <w:color w:val="FFFFFF" w:themeColor="background1"/>
                          <w:sz w:val="18"/>
                          <w:szCs w:val="14"/>
                        </w:rPr>
                      </w:pPr>
                      <w:r w:rsidRPr="00E01B46">
                        <w:rPr>
                          <w:rFonts w:ascii="Calibri" w:hAnsi="Calibri" w:cs="Calibri"/>
                          <w:color w:val="FFFFFF" w:themeColor="background1"/>
                          <w:sz w:val="18"/>
                          <w:szCs w:val="14"/>
                        </w:rPr>
                        <w:t>tel: + 420 733 130 282</w:t>
                      </w:r>
                    </w:p>
                    <w:p w14:paraId="773C1BDA" w14:textId="77777777" w:rsidR="00E01B46" w:rsidRPr="002D4720" w:rsidRDefault="00E01B46" w:rsidP="00E01B46">
                      <w:pPr>
                        <w:jc w:val="left"/>
                        <w:rPr>
                          <w:rFonts w:ascii="Calibri" w:hAnsi="Calibri" w:cs="Calibri"/>
                        </w:rPr>
                      </w:pPr>
                    </w:p>
                  </w:txbxContent>
                </v:textbox>
                <w10:wrap anchorx="margin"/>
              </v:rect>
            </w:pict>
          </mc:Fallback>
        </mc:AlternateContent>
      </w:r>
      <w:r w:rsidRPr="00E01B46">
        <w:rPr>
          <w:b/>
          <w:bCs/>
          <w:noProof/>
          <w:sz w:val="24"/>
          <w:szCs w:val="24"/>
        </w:rPr>
        <mc:AlternateContent>
          <mc:Choice Requires="wps">
            <w:drawing>
              <wp:anchor distT="0" distB="0" distL="114300" distR="114300" simplePos="0" relativeHeight="251666432" behindDoc="0" locked="0" layoutInCell="1" allowOverlap="1" wp14:anchorId="5EFCF58E" wp14:editId="3E84A6BE">
                <wp:simplePos x="0" y="0"/>
                <wp:positionH relativeFrom="margin">
                  <wp:posOffset>-52705</wp:posOffset>
                </wp:positionH>
                <wp:positionV relativeFrom="paragraph">
                  <wp:posOffset>612775</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73C5C" w14:textId="77777777" w:rsidR="00E01B46" w:rsidRPr="00E01B46" w:rsidRDefault="00E01B46" w:rsidP="00E01B46">
                            <w:pPr>
                              <w:spacing w:line="276" w:lineRule="auto"/>
                              <w:rPr>
                                <w:rFonts w:ascii="Calibri" w:hAnsi="Calibri" w:cs="Calibri"/>
                                <w:b/>
                                <w:sz w:val="20"/>
                                <w:szCs w:val="20"/>
                              </w:rPr>
                            </w:pPr>
                            <w:r w:rsidRPr="00E01B46">
                              <w:rPr>
                                <w:rFonts w:ascii="Calibri" w:hAnsi="Calibri" w:cs="Calibri"/>
                                <w:b/>
                                <w:sz w:val="20"/>
                                <w:szCs w:val="20"/>
                              </w:rPr>
                              <w:t>O České bankovní asociaci</w:t>
                            </w:r>
                          </w:p>
                          <w:p w14:paraId="4D636838" w14:textId="77777777" w:rsidR="00E01B46" w:rsidRPr="00E01B46" w:rsidRDefault="00E01B46" w:rsidP="00E01B46">
                            <w:pPr>
                              <w:spacing w:line="276" w:lineRule="auto"/>
                              <w:rPr>
                                <w:rFonts w:ascii="Calibri" w:hAnsi="Calibri" w:cs="Calibri"/>
                                <w:sz w:val="18"/>
                                <w:szCs w:val="18"/>
                              </w:rPr>
                            </w:pPr>
                            <w:r w:rsidRPr="00E01B46">
                              <w:rPr>
                                <w:rFonts w:ascii="Calibri" w:hAnsi="Calibri" w:cs="Calibri"/>
                                <w:sz w:val="18"/>
                                <w:szCs w:val="18"/>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E01B46">
                              <w:rPr>
                                <w:rFonts w:ascii="Calibri" w:hAnsi="Calibri" w:cs="Calibri"/>
                                <w:i/>
                                <w:sz w:val="18"/>
                                <w:szCs w:val="18"/>
                              </w:rPr>
                              <w:t> </w:t>
                            </w:r>
                            <w:r w:rsidRPr="00E01B46">
                              <w:rPr>
                                <w:rFonts w:ascii="Calibri" w:hAnsi="Calibri" w:cs="Calibri"/>
                                <w:sz w:val="18"/>
                                <w:szCs w:val="18"/>
                              </w:rPr>
                              <w:t>bankovnictví a na vytváření odborných zvyklostí, podporovat harmonizaci bankovní legislativy s legislativou Evropské unie a vyvíjet aktivitu v informativní a školící oblasti. ČBA je členem Evropské bankovní federace a</w:t>
                            </w:r>
                            <w:r w:rsidRPr="00E01B46">
                              <w:rPr>
                                <w:rFonts w:ascii="Calibri" w:hAnsi="Calibri" w:cs="Calibri"/>
                                <w:i/>
                                <w:sz w:val="18"/>
                                <w:szCs w:val="18"/>
                              </w:rPr>
                              <w:t> </w:t>
                            </w:r>
                            <w:r w:rsidRPr="00E01B46">
                              <w:rPr>
                                <w:rFonts w:ascii="Calibri" w:hAnsi="Calibri" w:cs="Calibri"/>
                                <w:sz w:val="18"/>
                                <w:szCs w:val="18"/>
                              </w:rPr>
                              <w:t xml:space="preserve">EMMI. Více informací na </w:t>
                            </w:r>
                            <w:hyperlink r:id="rId7" w:history="1">
                              <w:r w:rsidRPr="00E01B46">
                                <w:rPr>
                                  <w:rFonts w:ascii="Calibri" w:hAnsi="Calibri" w:cs="Calibri"/>
                                  <w:color w:val="FFFFFF" w:themeColor="background1"/>
                                  <w:sz w:val="18"/>
                                  <w:szCs w:val="18"/>
                                </w:rPr>
                                <w:t>www.cbaonline.cz</w:t>
                              </w:r>
                            </w:hyperlink>
                            <w:r w:rsidRPr="00E01B46">
                              <w:rPr>
                                <w:rFonts w:ascii="Calibri" w:hAnsi="Calibri" w:cs="Calibri"/>
                                <w:color w:val="FFFFFF" w:themeColor="background1"/>
                                <w:sz w:val="18"/>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F58E" id="Obdélník 199" o:spid="_x0000_s1031" style="position:absolute;left:0;text-align:left;margin-left:-4.15pt;margin-top:48.25pt;width:340.35pt;height:12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" fillcolor="#bfbfbf [2412]" stroked="f" strokeweight="1pt">
                <v:textbox inset="3mm,3mm,3mm,3mm">
                  <w:txbxContent>
                    <w:p w14:paraId="43C73C5C" w14:textId="77777777" w:rsidR="00E01B46" w:rsidRPr="00E01B46" w:rsidRDefault="00E01B46" w:rsidP="00E01B46">
                      <w:pPr>
                        <w:pStyle w:val="Mkatabulky"/>
                        <w:spacing w:line="276" w:lineRule="auto"/>
                        <w:rPr>
                          <w:rFonts w:ascii="Calibri" w:hAnsi="Calibri" w:cs="Calibri"/>
                          <w:b/>
                          <w:sz w:val="20"/>
                          <w:szCs w:val="20"/>
                        </w:rPr>
                      </w:pPr>
                      <w:r w:rsidRPr="00E01B46">
                        <w:rPr>
                          <w:rFonts w:ascii="Calibri" w:hAnsi="Calibri" w:cs="Calibri"/>
                          <w:b/>
                          <w:sz w:val="20"/>
                          <w:szCs w:val="20"/>
                        </w:rPr>
                        <w:t>O České bankovní asociaci</w:t>
                      </w:r>
                    </w:p>
                    <w:p w14:paraId="4D636838" w14:textId="77777777" w:rsidR="00E01B46" w:rsidRPr="00E01B46" w:rsidRDefault="00E01B46" w:rsidP="00E01B46">
                      <w:pPr>
                        <w:pStyle w:val="Mkatabulky"/>
                        <w:spacing w:line="276" w:lineRule="auto"/>
                        <w:rPr>
                          <w:rFonts w:ascii="Calibri" w:hAnsi="Calibri" w:cs="Calibri"/>
                          <w:sz w:val="18"/>
                          <w:szCs w:val="18"/>
                        </w:rPr>
                      </w:pPr>
                      <w:r w:rsidRPr="00E01B46">
                        <w:rPr>
                          <w:rFonts w:ascii="Calibri" w:hAnsi="Calibri" w:cs="Calibri"/>
                          <w:sz w:val="18"/>
                          <w:szCs w:val="18"/>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E01B46">
                        <w:rPr>
                          <w:rFonts w:ascii="Calibri" w:hAnsi="Calibri" w:cs="Calibri"/>
                          <w:i/>
                          <w:sz w:val="18"/>
                          <w:szCs w:val="18"/>
                        </w:rPr>
                        <w:t> </w:t>
                      </w:r>
                      <w:r w:rsidRPr="00E01B46">
                        <w:rPr>
                          <w:rFonts w:ascii="Calibri" w:hAnsi="Calibri" w:cs="Calibri"/>
                          <w:sz w:val="18"/>
                          <w:szCs w:val="18"/>
                        </w:rPr>
                        <w:t>bankovnictví a na vytváření odborných zvyklostí, podporovat harmonizaci bankovní legislativy s legislativou Evropské unie a vyvíjet aktivitu v informativní a školící oblasti. ČBA je členem Evropské bankovní federace a</w:t>
                      </w:r>
                      <w:r w:rsidRPr="00E01B46">
                        <w:rPr>
                          <w:rFonts w:ascii="Calibri" w:hAnsi="Calibri" w:cs="Calibri"/>
                          <w:i/>
                          <w:sz w:val="18"/>
                          <w:szCs w:val="18"/>
                        </w:rPr>
                        <w:t> </w:t>
                      </w:r>
                      <w:r w:rsidRPr="00E01B46">
                        <w:rPr>
                          <w:rFonts w:ascii="Calibri" w:hAnsi="Calibri" w:cs="Calibri"/>
                          <w:sz w:val="18"/>
                          <w:szCs w:val="18"/>
                        </w:rPr>
                        <w:t xml:space="preserve">EMMI. Více informací na </w:t>
                      </w:r>
                      <w:hyperlink r:id="rId8" w:history="1">
                        <w:r w:rsidRPr="00E01B46">
                          <w:rPr>
                            <w:rFonts w:ascii="Calibri" w:hAnsi="Calibri" w:cs="Calibri"/>
                            <w:color w:val="FFFFFF" w:themeColor="background1"/>
                            <w:sz w:val="18"/>
                            <w:szCs w:val="18"/>
                          </w:rPr>
                          <w:t>www.cbaonline.cz</w:t>
                        </w:r>
                      </w:hyperlink>
                      <w:r w:rsidRPr="00E01B46">
                        <w:rPr>
                          <w:rFonts w:ascii="Calibri" w:hAnsi="Calibri" w:cs="Calibri"/>
                          <w:color w:val="FFFFFF" w:themeColor="background1"/>
                          <w:sz w:val="18"/>
                          <w:szCs w:val="18"/>
                        </w:rPr>
                        <w:t xml:space="preserve"> </w:t>
                      </w:r>
                    </w:p>
                  </w:txbxContent>
                </v:textbox>
                <w10:wrap anchorx="margin"/>
              </v:rect>
            </w:pict>
          </mc:Fallback>
        </mc:AlternateContent>
      </w:r>
    </w:p>
    <w:sectPr w:rsidR="00466D73" w:rsidSect="00E01B46">
      <w:headerReference w:type="default" r:id="rId9"/>
      <w:footerReference w:type="default" r:id="rId10"/>
      <w:pgSz w:w="11906" w:h="16838"/>
      <w:pgMar w:top="2552" w:right="849" w:bottom="1417" w:left="851"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4530" w14:textId="77777777" w:rsidR="00F01BE5" w:rsidRDefault="00F01BE5" w:rsidP="00E0225E">
      <w:pPr>
        <w:spacing w:line="240" w:lineRule="auto"/>
      </w:pPr>
      <w:r>
        <w:separator/>
      </w:r>
    </w:p>
  </w:endnote>
  <w:endnote w:type="continuationSeparator" w:id="0">
    <w:p w14:paraId="56CEDFA7" w14:textId="77777777" w:rsidR="00F01BE5" w:rsidRDefault="00F01BE5" w:rsidP="00E0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268222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793F7AE" w14:textId="4DF023BE" w:rsidR="00E01B46" w:rsidRPr="00E01B46" w:rsidRDefault="00E01B46">
            <w:pPr>
              <w:pStyle w:val="Zpat"/>
              <w:jc w:val="right"/>
              <w:rPr>
                <w:sz w:val="18"/>
                <w:szCs w:val="18"/>
              </w:rPr>
            </w:pPr>
            <w:r w:rsidRPr="001E31AB">
              <w:rPr>
                <w:rFonts w:ascii="Calibri" w:hAnsi="Calibri"/>
                <w:noProof/>
                <w:szCs w:val="18"/>
              </w:rPr>
              <w:drawing>
                <wp:anchor distT="0" distB="0" distL="114300" distR="114300" simplePos="0" relativeHeight="251663360" behindDoc="0" locked="0" layoutInCell="1" allowOverlap="1" wp14:anchorId="0E54E7AA" wp14:editId="66820C88">
                  <wp:simplePos x="0" y="0"/>
                  <wp:positionH relativeFrom="column">
                    <wp:posOffset>-541020</wp:posOffset>
                  </wp:positionH>
                  <wp:positionV relativeFrom="paragraph">
                    <wp:posOffset>-89535</wp:posOffset>
                  </wp:positionV>
                  <wp:extent cx="3042285" cy="701040"/>
                  <wp:effectExtent l="0" t="0" r="5715"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B46">
              <w:rPr>
                <w:sz w:val="18"/>
                <w:szCs w:val="18"/>
              </w:rPr>
              <w:t xml:space="preserve">Stránka </w:t>
            </w:r>
            <w:r w:rsidRPr="00E01B46">
              <w:rPr>
                <w:b/>
                <w:bCs/>
                <w:sz w:val="18"/>
                <w:szCs w:val="18"/>
              </w:rPr>
              <w:fldChar w:fldCharType="begin"/>
            </w:r>
            <w:r w:rsidRPr="00E01B46">
              <w:rPr>
                <w:b/>
                <w:bCs/>
                <w:sz w:val="18"/>
                <w:szCs w:val="18"/>
              </w:rPr>
              <w:instrText>PAGE</w:instrText>
            </w:r>
            <w:r w:rsidRPr="00E01B46">
              <w:rPr>
                <w:b/>
                <w:bCs/>
                <w:sz w:val="18"/>
                <w:szCs w:val="18"/>
              </w:rPr>
              <w:fldChar w:fldCharType="separate"/>
            </w:r>
            <w:r w:rsidRPr="00E01B46">
              <w:rPr>
                <w:b/>
                <w:bCs/>
                <w:sz w:val="18"/>
                <w:szCs w:val="18"/>
              </w:rPr>
              <w:t>2</w:t>
            </w:r>
            <w:r w:rsidRPr="00E01B46">
              <w:rPr>
                <w:b/>
                <w:bCs/>
                <w:sz w:val="18"/>
                <w:szCs w:val="18"/>
              </w:rPr>
              <w:fldChar w:fldCharType="end"/>
            </w:r>
            <w:r w:rsidRPr="00E01B46">
              <w:rPr>
                <w:sz w:val="18"/>
                <w:szCs w:val="18"/>
              </w:rPr>
              <w:t xml:space="preserve"> z </w:t>
            </w:r>
            <w:r w:rsidRPr="00E01B46">
              <w:rPr>
                <w:b/>
                <w:bCs/>
                <w:sz w:val="18"/>
                <w:szCs w:val="18"/>
              </w:rPr>
              <w:fldChar w:fldCharType="begin"/>
            </w:r>
            <w:r w:rsidRPr="00E01B46">
              <w:rPr>
                <w:b/>
                <w:bCs/>
                <w:sz w:val="18"/>
                <w:szCs w:val="18"/>
              </w:rPr>
              <w:instrText>NUMPAGES</w:instrText>
            </w:r>
            <w:r w:rsidRPr="00E01B46">
              <w:rPr>
                <w:b/>
                <w:bCs/>
                <w:sz w:val="18"/>
                <w:szCs w:val="18"/>
              </w:rPr>
              <w:fldChar w:fldCharType="separate"/>
            </w:r>
            <w:r w:rsidRPr="00E01B46">
              <w:rPr>
                <w:b/>
                <w:bCs/>
                <w:sz w:val="18"/>
                <w:szCs w:val="18"/>
              </w:rPr>
              <w:t>2</w:t>
            </w:r>
            <w:r w:rsidRPr="00E01B46">
              <w:rPr>
                <w:b/>
                <w:bCs/>
                <w:sz w:val="18"/>
                <w:szCs w:val="18"/>
              </w:rPr>
              <w:fldChar w:fldCharType="end"/>
            </w:r>
          </w:p>
        </w:sdtContent>
      </w:sdt>
    </w:sdtContent>
  </w:sdt>
  <w:p w14:paraId="431D41E2" w14:textId="4FBAD7A8" w:rsidR="00E01B46" w:rsidRPr="00E01B46" w:rsidRDefault="00E01B46">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0353" w14:textId="77777777" w:rsidR="00F01BE5" w:rsidRDefault="00F01BE5" w:rsidP="00E0225E">
      <w:pPr>
        <w:spacing w:line="240" w:lineRule="auto"/>
      </w:pPr>
      <w:r>
        <w:separator/>
      </w:r>
    </w:p>
  </w:footnote>
  <w:footnote w:type="continuationSeparator" w:id="0">
    <w:p w14:paraId="4926B367" w14:textId="77777777" w:rsidR="00F01BE5" w:rsidRDefault="00F01BE5" w:rsidP="00E02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DDEA" w14:textId="77777777" w:rsidR="00E0225E" w:rsidRDefault="00E0225E" w:rsidP="00E0225E">
    <w:pPr>
      <w:pStyle w:val="Zhlav"/>
    </w:pPr>
    <w:r w:rsidRPr="007C30FC">
      <w:rPr>
        <w:rFonts w:cs="Arial"/>
        <w:noProof/>
      </w:rPr>
      <mc:AlternateContent>
        <mc:Choice Requires="wps">
          <w:drawing>
            <wp:anchor distT="45720" distB="45720" distL="114300" distR="114300" simplePos="0" relativeHeight="251660288" behindDoc="0" locked="0" layoutInCell="1" allowOverlap="1" wp14:anchorId="730E2921" wp14:editId="014CD000">
              <wp:simplePos x="0" y="0"/>
              <wp:positionH relativeFrom="margin">
                <wp:posOffset>5434965</wp:posOffset>
              </wp:positionH>
              <wp:positionV relativeFrom="paragraph">
                <wp:posOffset>146685</wp:posOffset>
              </wp:positionV>
              <wp:extent cx="114300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14:paraId="47162745" w14:textId="77777777" w:rsidR="00E0225E" w:rsidRPr="00CC1EE2" w:rsidRDefault="00E0225E" w:rsidP="00E0225E">
                          <w:pPr>
                            <w:spacing w:line="276" w:lineRule="auto"/>
                            <w:jc w:val="right"/>
                            <w:rPr>
                              <w:rFonts w:ascii="Calibri" w:hAnsi="Calibri"/>
                              <w:b/>
                              <w:color w:val="13576B"/>
                              <w:sz w:val="20"/>
                            </w:rPr>
                          </w:pPr>
                          <w:r w:rsidRPr="00CC1EE2">
                            <w:rPr>
                              <w:rFonts w:ascii="Calibri" w:hAnsi="Calibri"/>
                              <w:b/>
                              <w:color w:val="13576B"/>
                              <w:sz w:val="20"/>
                            </w:rPr>
                            <w:t>KOMENTÁŘ</w:t>
                          </w:r>
                        </w:p>
                        <w:p w14:paraId="37ED4D72" w14:textId="36065225" w:rsidR="00E0225E" w:rsidRPr="00CC1EE2" w:rsidRDefault="00E0225E" w:rsidP="00E0225E">
                          <w:pPr>
                            <w:spacing w:line="276" w:lineRule="auto"/>
                            <w:jc w:val="right"/>
                            <w:rPr>
                              <w:rFonts w:ascii="Calibri" w:hAnsi="Calibri"/>
                              <w:b/>
                              <w:color w:val="13576B"/>
                              <w:sz w:val="20"/>
                            </w:rPr>
                          </w:pPr>
                          <w:r w:rsidRPr="00CC1EE2">
                            <w:rPr>
                              <w:rFonts w:ascii="Calibri" w:hAnsi="Calibri"/>
                              <w:color w:val="13576B"/>
                              <w:sz w:val="20"/>
                            </w:rPr>
                            <w:t xml:space="preserve">           </w:t>
                          </w:r>
                          <w:r>
                            <w:rPr>
                              <w:rFonts w:ascii="Calibri" w:hAnsi="Calibri"/>
                              <w:color w:val="13576B"/>
                              <w:sz w:val="20"/>
                            </w:rPr>
                            <w:t>0</w:t>
                          </w:r>
                          <w:r w:rsidR="006F0C77">
                            <w:rPr>
                              <w:rFonts w:ascii="Calibri" w:hAnsi="Calibri"/>
                              <w:color w:val="13576B"/>
                              <w:sz w:val="20"/>
                            </w:rPr>
                            <w:t>4</w:t>
                          </w:r>
                          <w:r>
                            <w:rPr>
                              <w:rFonts w:ascii="Calibri" w:hAnsi="Calibri"/>
                              <w:color w:val="13576B"/>
                              <w:sz w:val="20"/>
                            </w:rPr>
                            <w:t>.</w:t>
                          </w:r>
                          <w:r w:rsidRPr="00CC1EE2">
                            <w:rPr>
                              <w:rFonts w:ascii="Calibri" w:hAnsi="Calibri"/>
                              <w:color w:val="13576B"/>
                              <w:sz w:val="20"/>
                            </w:rPr>
                            <w:t>0</w:t>
                          </w:r>
                          <w:r>
                            <w:rPr>
                              <w:rFonts w:ascii="Calibri" w:hAnsi="Calibri"/>
                              <w:color w:val="13576B"/>
                              <w:sz w:val="20"/>
                            </w:rPr>
                            <w:t>5</w:t>
                          </w:r>
                          <w:r w:rsidRPr="00CC1EE2">
                            <w:rPr>
                              <w:rFonts w:ascii="Calibri" w:hAnsi="Calibri"/>
                              <w:color w:val="13576B"/>
                              <w:sz w:val="20"/>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E2921" id="_x0000_t202" coordsize="21600,21600" o:spt="202" path="m,l,21600r21600,l21600,xe">
              <v:stroke joinstyle="miter"/>
              <v:path gradientshapeok="t" o:connecttype="rect"/>
            </v:shapetype>
            <v:shape id="_x0000_s1032" type="#_x0000_t202" style="position:absolute;left:0;text-align:left;margin-left:427.95pt;margin-top:11.55pt;width:9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" filled="f" stroked="f">
              <v:textbox style="mso-fit-shape-to-text:t">
                <w:txbxContent>
                  <w:p w14:paraId="47162745" w14:textId="77777777" w:rsidR="00E0225E" w:rsidRPr="00CC1EE2" w:rsidRDefault="00E0225E" w:rsidP="00E0225E">
                    <w:pPr>
                      <w:spacing w:line="276" w:lineRule="auto"/>
                      <w:jc w:val="right"/>
                      <w:rPr>
                        <w:rFonts w:ascii="Calibri" w:hAnsi="Calibri"/>
                        <w:b/>
                        <w:color w:val="13576B"/>
                        <w:sz w:val="20"/>
                      </w:rPr>
                    </w:pPr>
                    <w:r w:rsidRPr="00CC1EE2">
                      <w:rPr>
                        <w:rFonts w:ascii="Calibri" w:hAnsi="Calibri"/>
                        <w:b/>
                        <w:color w:val="13576B"/>
                        <w:sz w:val="20"/>
                      </w:rPr>
                      <w:t>KOMENTÁŘ</w:t>
                    </w:r>
                  </w:p>
                  <w:p w14:paraId="37ED4D72" w14:textId="36065225" w:rsidR="00E0225E" w:rsidRPr="00CC1EE2" w:rsidRDefault="00E0225E" w:rsidP="00E0225E">
                    <w:pPr>
                      <w:spacing w:line="276" w:lineRule="auto"/>
                      <w:jc w:val="right"/>
                      <w:rPr>
                        <w:rFonts w:ascii="Calibri" w:hAnsi="Calibri"/>
                        <w:b/>
                        <w:color w:val="13576B"/>
                        <w:sz w:val="20"/>
                      </w:rPr>
                    </w:pPr>
                    <w:r w:rsidRPr="00CC1EE2">
                      <w:rPr>
                        <w:rFonts w:ascii="Calibri" w:hAnsi="Calibri"/>
                        <w:color w:val="13576B"/>
                        <w:sz w:val="20"/>
                      </w:rPr>
                      <w:t xml:space="preserve">           </w:t>
                    </w:r>
                    <w:r>
                      <w:rPr>
                        <w:rFonts w:ascii="Calibri" w:hAnsi="Calibri"/>
                        <w:color w:val="13576B"/>
                        <w:sz w:val="20"/>
                      </w:rPr>
                      <w:t>0</w:t>
                    </w:r>
                    <w:r w:rsidR="006F0C77">
                      <w:rPr>
                        <w:rFonts w:ascii="Calibri" w:hAnsi="Calibri"/>
                        <w:color w:val="13576B"/>
                        <w:sz w:val="20"/>
                      </w:rPr>
                      <w:t>4</w:t>
                    </w:r>
                    <w:r>
                      <w:rPr>
                        <w:rFonts w:ascii="Calibri" w:hAnsi="Calibri"/>
                        <w:color w:val="13576B"/>
                        <w:sz w:val="20"/>
                      </w:rPr>
                      <w:t>.</w:t>
                    </w:r>
                    <w:r w:rsidRPr="00CC1EE2">
                      <w:rPr>
                        <w:rFonts w:ascii="Calibri" w:hAnsi="Calibri"/>
                        <w:color w:val="13576B"/>
                        <w:sz w:val="20"/>
                      </w:rPr>
                      <w:t>0</w:t>
                    </w:r>
                    <w:r>
                      <w:rPr>
                        <w:rFonts w:ascii="Calibri" w:hAnsi="Calibri"/>
                        <w:color w:val="13576B"/>
                        <w:sz w:val="20"/>
                      </w:rPr>
                      <w:t>5</w:t>
                    </w:r>
                    <w:r w:rsidRPr="00CC1EE2">
                      <w:rPr>
                        <w:rFonts w:ascii="Calibri" w:hAnsi="Calibri"/>
                        <w:color w:val="13576B"/>
                        <w:sz w:val="20"/>
                      </w:rPr>
                      <w:t>.2021</w:t>
                    </w:r>
                  </w:p>
                </w:txbxContent>
              </v:textbox>
              <w10:wrap anchorx="margin"/>
            </v:shape>
          </w:pict>
        </mc:Fallback>
      </mc:AlternateContent>
    </w:r>
    <w:r>
      <w:rPr>
        <w:noProof/>
      </w:rPr>
      <w:drawing>
        <wp:anchor distT="0" distB="0" distL="114300" distR="114300" simplePos="0" relativeHeight="251659264" behindDoc="0" locked="0" layoutInCell="1" allowOverlap="1" wp14:anchorId="7AD450F6" wp14:editId="3E32D9B7">
          <wp:simplePos x="0" y="0"/>
          <wp:positionH relativeFrom="column">
            <wp:posOffset>-52705</wp:posOffset>
          </wp:positionH>
          <wp:positionV relativeFrom="paragraph">
            <wp:posOffset>29845</wp:posOffset>
          </wp:positionV>
          <wp:extent cx="2209800" cy="778510"/>
          <wp:effectExtent l="0" t="0" r="0" b="254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FD71986" wp14:editId="39FAED91">
          <wp:simplePos x="0" y="0"/>
          <wp:positionH relativeFrom="column">
            <wp:posOffset>3985895</wp:posOffset>
          </wp:positionH>
          <wp:positionV relativeFrom="paragraph">
            <wp:posOffset>-8255</wp:posOffset>
          </wp:positionV>
          <wp:extent cx="2943225" cy="243840"/>
          <wp:effectExtent l="0" t="0" r="9525" b="381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A0328" w14:textId="77777777" w:rsidR="00E0225E" w:rsidRPr="00E0225E" w:rsidRDefault="00E0225E" w:rsidP="00E0225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3C"/>
    <w:rsid w:val="00043E6C"/>
    <w:rsid w:val="0009212C"/>
    <w:rsid w:val="000A2A48"/>
    <w:rsid w:val="000D08EA"/>
    <w:rsid w:val="000F347A"/>
    <w:rsid w:val="00180203"/>
    <w:rsid w:val="002173B2"/>
    <w:rsid w:val="002D76C8"/>
    <w:rsid w:val="00303429"/>
    <w:rsid w:val="00303CF5"/>
    <w:rsid w:val="003305E2"/>
    <w:rsid w:val="003F3E14"/>
    <w:rsid w:val="00444856"/>
    <w:rsid w:val="004508A9"/>
    <w:rsid w:val="00466D73"/>
    <w:rsid w:val="00484E8B"/>
    <w:rsid w:val="004F4B32"/>
    <w:rsid w:val="00546BA1"/>
    <w:rsid w:val="005555A4"/>
    <w:rsid w:val="005C616D"/>
    <w:rsid w:val="005D20A4"/>
    <w:rsid w:val="006F0C77"/>
    <w:rsid w:val="006F1AB3"/>
    <w:rsid w:val="0071257B"/>
    <w:rsid w:val="00754F29"/>
    <w:rsid w:val="00780304"/>
    <w:rsid w:val="0078283C"/>
    <w:rsid w:val="00786D37"/>
    <w:rsid w:val="007C4C6A"/>
    <w:rsid w:val="007F42E5"/>
    <w:rsid w:val="00826B36"/>
    <w:rsid w:val="00847301"/>
    <w:rsid w:val="00991CDD"/>
    <w:rsid w:val="00995F02"/>
    <w:rsid w:val="009D79E2"/>
    <w:rsid w:val="00A06935"/>
    <w:rsid w:val="00AD22C3"/>
    <w:rsid w:val="00B12809"/>
    <w:rsid w:val="00B60AF9"/>
    <w:rsid w:val="00B87FBC"/>
    <w:rsid w:val="00C50E35"/>
    <w:rsid w:val="00C94F42"/>
    <w:rsid w:val="00CE15E9"/>
    <w:rsid w:val="00CF709B"/>
    <w:rsid w:val="00D277CE"/>
    <w:rsid w:val="00D308E6"/>
    <w:rsid w:val="00D53F5D"/>
    <w:rsid w:val="00DB2CEE"/>
    <w:rsid w:val="00E01B46"/>
    <w:rsid w:val="00E0225E"/>
    <w:rsid w:val="00E07FC6"/>
    <w:rsid w:val="00E37E02"/>
    <w:rsid w:val="00F01BE5"/>
    <w:rsid w:val="00F4545B"/>
    <w:rsid w:val="00FD4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3CE8"/>
  <w15:chartTrackingRefBased/>
  <w15:docId w15:val="{F353416B-212F-41A9-BE4A-6D9C5603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25E"/>
    <w:pPr>
      <w:tabs>
        <w:tab w:val="center" w:pos="4536"/>
        <w:tab w:val="right" w:pos="9072"/>
      </w:tabs>
      <w:spacing w:line="240" w:lineRule="auto"/>
    </w:pPr>
  </w:style>
  <w:style w:type="character" w:customStyle="1" w:styleId="ZhlavChar">
    <w:name w:val="Záhlaví Char"/>
    <w:basedOn w:val="Standardnpsmoodstavce"/>
    <w:link w:val="Zhlav"/>
    <w:uiPriority w:val="99"/>
    <w:rsid w:val="00E0225E"/>
  </w:style>
  <w:style w:type="paragraph" w:styleId="Zpat">
    <w:name w:val="footer"/>
    <w:basedOn w:val="Normln"/>
    <w:link w:val="ZpatChar"/>
    <w:uiPriority w:val="99"/>
    <w:unhideWhenUsed/>
    <w:rsid w:val="00E0225E"/>
    <w:pPr>
      <w:tabs>
        <w:tab w:val="center" w:pos="4536"/>
        <w:tab w:val="right" w:pos="9072"/>
      </w:tabs>
      <w:spacing w:line="240" w:lineRule="auto"/>
    </w:pPr>
  </w:style>
  <w:style w:type="character" w:customStyle="1" w:styleId="ZpatChar">
    <w:name w:val="Zápatí Char"/>
    <w:basedOn w:val="Standardnpsmoodstavce"/>
    <w:link w:val="Zpat"/>
    <w:uiPriority w:val="99"/>
    <w:rsid w:val="00E0225E"/>
  </w:style>
  <w:style w:type="table" w:styleId="Mkatabulky">
    <w:name w:val="Table Grid"/>
    <w:basedOn w:val="Normlntabulka"/>
    <w:uiPriority w:val="39"/>
    <w:rsid w:val="00E0225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nline.cz" TargetMode="External"/><Relationship Id="rId3" Type="http://schemas.openxmlformats.org/officeDocument/2006/relationships/webSettings" Target="webSettings.xml"/><Relationship Id="rId7" Type="http://schemas.openxmlformats.org/officeDocument/2006/relationships/hyperlink" Target="http://www.cbaonline.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342</Words>
  <Characters>2021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Staňura</dc:creator>
  <cp:keywords/>
  <dc:description/>
  <cp:lastModifiedBy>Andrea Trudičová</cp:lastModifiedBy>
  <cp:revision>8</cp:revision>
  <dcterms:created xsi:type="dcterms:W3CDTF">2021-05-01T15:29:00Z</dcterms:created>
  <dcterms:modified xsi:type="dcterms:W3CDTF">2021-05-04T17:46:00Z</dcterms:modified>
</cp:coreProperties>
</file>