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0D33" w14:textId="54F1E249" w:rsidR="00184412" w:rsidRPr="00184412" w:rsidRDefault="00184412" w:rsidP="00184412">
      <w:pPr>
        <w:rPr>
          <w:rFonts w:ascii="Calibri" w:hAnsi="Calibri" w:cs="Arial"/>
          <w:b/>
          <w:color w:val="13576B"/>
          <w:sz w:val="22"/>
          <w:szCs w:val="22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Komentář České bankovní asociace k bankovní statistice za </w:t>
      </w:r>
      <w:r w:rsidR="00F86A82">
        <w:rPr>
          <w:rFonts w:ascii="Calibri" w:hAnsi="Calibri" w:cs="Arial"/>
          <w:b/>
          <w:color w:val="13576B"/>
          <w:sz w:val="32"/>
          <w:szCs w:val="32"/>
        </w:rPr>
        <w:t>březen</w:t>
      </w: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 202</w:t>
      </w:r>
      <w:r>
        <w:rPr>
          <w:rFonts w:ascii="Calibri" w:hAnsi="Calibri" w:cs="Arial"/>
          <w:b/>
          <w:color w:val="13576B"/>
          <w:sz w:val="32"/>
          <w:szCs w:val="32"/>
        </w:rPr>
        <w:t>1</w:t>
      </w:r>
    </w:p>
    <w:p w14:paraId="22514814" w14:textId="77777777" w:rsidR="00184412" w:rsidRPr="00184412" w:rsidRDefault="00184412" w:rsidP="00184412">
      <w:pPr>
        <w:spacing w:line="276" w:lineRule="auto"/>
        <w:rPr>
          <w:rFonts w:ascii="Calibri" w:hAnsi="Calibri" w:cs="Arial"/>
          <w:color w:val="13576B"/>
          <w:szCs w:val="18"/>
        </w:rPr>
      </w:pPr>
    </w:p>
    <w:p w14:paraId="2346E622" w14:textId="77777777" w:rsidR="00184412" w:rsidRPr="00184412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184412">
        <w:rPr>
          <w:rFonts w:ascii="Calibri" w:hAnsi="Calibri" w:cs="Arial"/>
          <w:b/>
          <w:color w:val="13576B"/>
          <w:sz w:val="22"/>
          <w:szCs w:val="24"/>
        </w:rPr>
        <w:t xml:space="preserve">Miroslav Zámečník, ekonomický analytik České bankovní asociace </w:t>
      </w:r>
    </w:p>
    <w:p w14:paraId="71F76909" w14:textId="0D4AFAAC" w:rsidR="00184412" w:rsidRPr="00184412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184412">
        <w:rPr>
          <w:rFonts w:ascii="Calibri" w:hAnsi="Calibri" w:cs="Arial"/>
          <w:b/>
          <w:color w:val="13576B"/>
          <w:sz w:val="22"/>
          <w:szCs w:val="22"/>
        </w:rPr>
        <w:t>Praha, 3</w:t>
      </w:r>
      <w:r w:rsidR="00F86A82">
        <w:rPr>
          <w:rFonts w:ascii="Calibri" w:hAnsi="Calibri" w:cs="Arial"/>
          <w:b/>
          <w:color w:val="13576B"/>
          <w:sz w:val="22"/>
          <w:szCs w:val="22"/>
        </w:rPr>
        <w:t>0</w:t>
      </w: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. </w:t>
      </w:r>
      <w:r w:rsidR="00F86A82">
        <w:rPr>
          <w:rFonts w:ascii="Calibri" w:hAnsi="Calibri" w:cs="Arial"/>
          <w:b/>
          <w:color w:val="13576B"/>
          <w:sz w:val="22"/>
          <w:szCs w:val="22"/>
        </w:rPr>
        <w:t>dubna</w:t>
      </w: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78212D36" w:rsidR="00F42120" w:rsidRPr="00184412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BF26F86" w14:textId="4BD8AFF3" w:rsidR="00184412" w:rsidRPr="00184412" w:rsidRDefault="00184412" w:rsidP="00184412">
      <w:pPr>
        <w:rPr>
          <w:rFonts w:ascii="Calibri" w:hAnsi="Calibri" w:cs="Arial"/>
          <w:sz w:val="20"/>
        </w:rPr>
      </w:pPr>
      <w:r w:rsidRPr="00184412">
        <w:rPr>
          <w:rFonts w:ascii="Calibri" w:hAnsi="Calibri" w:cs="Arial"/>
          <w:b/>
          <w:bCs/>
          <w:sz w:val="20"/>
        </w:rPr>
        <w:t xml:space="preserve">Objem bankovních úvěrů rezidentům </w:t>
      </w:r>
      <w:r w:rsidRPr="00184412">
        <w:rPr>
          <w:rFonts w:ascii="Calibri" w:hAnsi="Calibri" w:cs="Arial"/>
          <w:sz w:val="20"/>
        </w:rPr>
        <w:t xml:space="preserve">podle údajů České národní banky (ČNB) ke konci </w:t>
      </w:r>
      <w:r w:rsidR="00F86A82">
        <w:rPr>
          <w:rFonts w:ascii="Calibri" w:hAnsi="Calibri" w:cs="Arial"/>
          <w:sz w:val="20"/>
        </w:rPr>
        <w:t>března</w:t>
      </w:r>
      <w:r w:rsidRPr="00184412">
        <w:rPr>
          <w:rFonts w:ascii="Calibri" w:hAnsi="Calibri" w:cs="Arial"/>
          <w:sz w:val="20"/>
        </w:rPr>
        <w:t xml:space="preserve"> 2021 </w:t>
      </w:r>
      <w:r w:rsidR="00AB2DFC">
        <w:rPr>
          <w:rFonts w:ascii="Calibri" w:hAnsi="Calibri" w:cs="Arial"/>
          <w:sz w:val="20"/>
        </w:rPr>
        <w:t>klesl</w:t>
      </w:r>
      <w:r w:rsidR="002D4A25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sz w:val="20"/>
        </w:rPr>
        <w:t>na</w:t>
      </w:r>
      <w:r w:rsidR="002D4A25">
        <w:rPr>
          <w:rFonts w:ascii="Calibri" w:hAnsi="Calibri" w:cs="Arial"/>
          <w:sz w:val="20"/>
        </w:rPr>
        <w:t xml:space="preserve"> </w:t>
      </w:r>
      <w:r w:rsidR="00F86A82">
        <w:rPr>
          <w:rFonts w:ascii="Calibri" w:hAnsi="Calibri" w:cs="Arial"/>
          <w:sz w:val="20"/>
        </w:rPr>
        <w:t xml:space="preserve">6,250 bilionu korun z únorových </w:t>
      </w:r>
      <w:r w:rsidR="002D4A25">
        <w:rPr>
          <w:rFonts w:ascii="Calibri" w:hAnsi="Calibri" w:cs="Arial"/>
          <w:sz w:val="20"/>
        </w:rPr>
        <w:t>6,261 bilionu korun</w:t>
      </w:r>
      <w:r w:rsidRPr="00184412">
        <w:rPr>
          <w:rFonts w:ascii="Calibri" w:hAnsi="Calibri" w:cs="Arial"/>
          <w:sz w:val="20"/>
        </w:rPr>
        <w:t xml:space="preserve">. </w:t>
      </w:r>
      <w:r w:rsidR="00AB2DFC" w:rsidRPr="00AB2DFC">
        <w:rPr>
          <w:rFonts w:ascii="Calibri" w:hAnsi="Calibri" w:cs="Arial"/>
          <w:b/>
          <w:bCs/>
          <w:sz w:val="20"/>
        </w:rPr>
        <w:t>O</w:t>
      </w:r>
      <w:r w:rsidRPr="00AB2DFC">
        <w:rPr>
          <w:rFonts w:ascii="Calibri" w:hAnsi="Calibri" w:cs="Arial"/>
          <w:b/>
          <w:bCs/>
          <w:sz w:val="20"/>
        </w:rPr>
        <w:t>bjem</w:t>
      </w:r>
      <w:r w:rsidRPr="00184412">
        <w:rPr>
          <w:rFonts w:ascii="Calibri" w:hAnsi="Calibri" w:cs="Arial"/>
          <w:b/>
          <w:bCs/>
          <w:sz w:val="20"/>
        </w:rPr>
        <w:t xml:space="preserve"> vkladů rezidentů</w:t>
      </w:r>
      <w:r w:rsidR="00AB2DFC">
        <w:rPr>
          <w:rFonts w:ascii="Calibri" w:hAnsi="Calibri" w:cs="Arial"/>
          <w:b/>
          <w:bCs/>
          <w:sz w:val="20"/>
        </w:rPr>
        <w:t xml:space="preserve"> vzrostl</w:t>
      </w:r>
      <w:r w:rsidRPr="00184412">
        <w:rPr>
          <w:rFonts w:ascii="Calibri" w:hAnsi="Calibri" w:cs="Arial"/>
          <w:b/>
          <w:bCs/>
          <w:sz w:val="20"/>
        </w:rPr>
        <w:t xml:space="preserve"> na</w:t>
      </w:r>
      <w:r w:rsidR="00F86A82">
        <w:rPr>
          <w:rFonts w:ascii="Calibri" w:hAnsi="Calibri" w:cs="Arial"/>
          <w:b/>
          <w:bCs/>
          <w:sz w:val="20"/>
        </w:rPr>
        <w:t xml:space="preserve"> 5,711 bilionu korun.</w:t>
      </w:r>
    </w:p>
    <w:p w14:paraId="2EAD4A49" w14:textId="77777777" w:rsidR="00184412" w:rsidRPr="00184412" w:rsidRDefault="00184412" w:rsidP="00184412">
      <w:pPr>
        <w:rPr>
          <w:rFonts w:ascii="Calibri" w:hAnsi="Calibri" w:cs="Arial"/>
          <w:sz w:val="20"/>
        </w:rPr>
      </w:pPr>
    </w:p>
    <w:p w14:paraId="63C5BD73" w14:textId="45AC6570" w:rsidR="00184412" w:rsidRDefault="00184412" w:rsidP="00184412">
      <w:pPr>
        <w:rPr>
          <w:rFonts w:ascii="Calibri" w:hAnsi="Calibri" w:cs="Arial"/>
          <w:sz w:val="20"/>
        </w:rPr>
      </w:pPr>
      <w:r w:rsidRPr="00184412">
        <w:rPr>
          <w:rFonts w:ascii="Calibri" w:hAnsi="Calibri" w:cs="Arial"/>
          <w:b/>
          <w:bCs/>
          <w:sz w:val="20"/>
        </w:rPr>
        <w:t>Domácnosti dluží celkem 1</w:t>
      </w:r>
      <w:r w:rsidR="002D4A25">
        <w:rPr>
          <w:rFonts w:ascii="Calibri" w:hAnsi="Calibri" w:cs="Arial"/>
          <w:b/>
          <w:bCs/>
          <w:sz w:val="20"/>
        </w:rPr>
        <w:t>,</w:t>
      </w:r>
      <w:r w:rsidR="00F86A82">
        <w:rPr>
          <w:rFonts w:ascii="Calibri" w:hAnsi="Calibri" w:cs="Arial"/>
          <w:b/>
          <w:bCs/>
          <w:sz w:val="20"/>
        </w:rPr>
        <w:t>890</w:t>
      </w:r>
      <w:r w:rsidRPr="00184412">
        <w:rPr>
          <w:rFonts w:ascii="Calibri" w:hAnsi="Calibri" w:cs="Arial"/>
          <w:b/>
          <w:bCs/>
          <w:sz w:val="20"/>
        </w:rPr>
        <w:t xml:space="preserve"> bilionu korun</w:t>
      </w:r>
      <w:r w:rsidRPr="00184412">
        <w:rPr>
          <w:rFonts w:ascii="Calibri" w:hAnsi="Calibri" w:cs="Arial"/>
          <w:sz w:val="20"/>
        </w:rPr>
        <w:t xml:space="preserve">, s meziměsíčním nárůstem o </w:t>
      </w:r>
      <w:r w:rsidR="002D4A25">
        <w:rPr>
          <w:rFonts w:ascii="Calibri" w:hAnsi="Calibri" w:cs="Arial"/>
          <w:sz w:val="20"/>
        </w:rPr>
        <w:t>1</w:t>
      </w:r>
      <w:r w:rsidR="00F86A82">
        <w:rPr>
          <w:rFonts w:ascii="Calibri" w:hAnsi="Calibri" w:cs="Arial"/>
          <w:sz w:val="20"/>
        </w:rPr>
        <w:t>4</w:t>
      </w:r>
      <w:r w:rsidRPr="00184412">
        <w:rPr>
          <w:rFonts w:ascii="Calibri" w:hAnsi="Calibri" w:cs="Arial"/>
          <w:sz w:val="20"/>
        </w:rPr>
        <w:t xml:space="preserve"> miliardy korun. Stále jasně dominují – s podílem 77 % – úvěry na bydlení, které stouply na 1,4</w:t>
      </w:r>
      <w:r w:rsidR="00F86A82">
        <w:rPr>
          <w:rFonts w:ascii="Calibri" w:hAnsi="Calibri" w:cs="Arial"/>
          <w:sz w:val="20"/>
        </w:rPr>
        <w:t xml:space="preserve">64 </w:t>
      </w:r>
      <w:r w:rsidRPr="00184412">
        <w:rPr>
          <w:rFonts w:ascii="Calibri" w:hAnsi="Calibri" w:cs="Arial"/>
          <w:sz w:val="20"/>
        </w:rPr>
        <w:t>bilionu korun (podle ČNB meziměsíční nárůst o 0,</w:t>
      </w:r>
      <w:r w:rsidR="00F86A82">
        <w:rPr>
          <w:rFonts w:ascii="Calibri" w:hAnsi="Calibri" w:cs="Arial"/>
          <w:sz w:val="20"/>
        </w:rPr>
        <w:t>9</w:t>
      </w:r>
      <w:r w:rsidRPr="00184412">
        <w:rPr>
          <w:rFonts w:ascii="Calibri" w:hAnsi="Calibri" w:cs="Arial"/>
          <w:sz w:val="20"/>
        </w:rPr>
        <w:t xml:space="preserve"> %). Spotřebitelské úvěry </w:t>
      </w:r>
      <w:r w:rsidR="00F86A82">
        <w:rPr>
          <w:rFonts w:ascii="Calibri" w:hAnsi="Calibri" w:cs="Arial"/>
          <w:sz w:val="20"/>
        </w:rPr>
        <w:t>se zvýšily na hodnotu</w:t>
      </w:r>
      <w:r w:rsidR="002D4A25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sz w:val="20"/>
        </w:rPr>
        <w:t>26</w:t>
      </w:r>
      <w:r w:rsidR="00F86A82">
        <w:rPr>
          <w:rFonts w:ascii="Calibri" w:hAnsi="Calibri" w:cs="Arial"/>
          <w:sz w:val="20"/>
        </w:rPr>
        <w:t>3</w:t>
      </w:r>
      <w:r w:rsidRPr="00184412">
        <w:rPr>
          <w:rFonts w:ascii="Calibri" w:hAnsi="Calibri" w:cs="Arial"/>
          <w:sz w:val="20"/>
        </w:rPr>
        <w:t xml:space="preserve"> mld. korun.</w:t>
      </w:r>
      <w:r w:rsidR="00F86A82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sz w:val="20"/>
        </w:rPr>
        <w:t>V případě domácností</w:t>
      </w:r>
      <w:r w:rsidR="00F86A82">
        <w:rPr>
          <w:rFonts w:ascii="Calibri" w:hAnsi="Calibri" w:cs="Arial"/>
          <w:sz w:val="20"/>
        </w:rPr>
        <w:t xml:space="preserve"> se</w:t>
      </w:r>
      <w:r w:rsidRPr="00184412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b/>
          <w:bCs/>
          <w:sz w:val="20"/>
        </w:rPr>
        <w:t>podíl nevýkonných úvěrů</w:t>
      </w:r>
      <w:r w:rsidRPr="00184412">
        <w:rPr>
          <w:rFonts w:ascii="Calibri" w:hAnsi="Calibri" w:cs="Arial"/>
          <w:sz w:val="20"/>
        </w:rPr>
        <w:t xml:space="preserve"> </w:t>
      </w:r>
      <w:r w:rsidR="002D4A25">
        <w:rPr>
          <w:rFonts w:ascii="Calibri" w:hAnsi="Calibri" w:cs="Arial"/>
          <w:sz w:val="20"/>
        </w:rPr>
        <w:t>v </w:t>
      </w:r>
      <w:r w:rsidR="00F86A82">
        <w:rPr>
          <w:rFonts w:ascii="Calibri" w:hAnsi="Calibri" w:cs="Arial"/>
          <w:sz w:val="20"/>
        </w:rPr>
        <w:t>březnu</w:t>
      </w:r>
      <w:r w:rsidR="002D4A25">
        <w:rPr>
          <w:rFonts w:ascii="Calibri" w:hAnsi="Calibri" w:cs="Arial"/>
          <w:sz w:val="20"/>
        </w:rPr>
        <w:t xml:space="preserve"> 2021 </w:t>
      </w:r>
      <w:r w:rsidR="00F86A82">
        <w:rPr>
          <w:rFonts w:ascii="Calibri" w:hAnsi="Calibri" w:cs="Arial"/>
          <w:sz w:val="20"/>
        </w:rPr>
        <w:t>zvýšil o desetinu procentního bodu na 1,9 %.</w:t>
      </w:r>
    </w:p>
    <w:p w14:paraId="01BC490A" w14:textId="77777777" w:rsidR="00F86A82" w:rsidRPr="00184412" w:rsidRDefault="00F86A82" w:rsidP="00184412">
      <w:pPr>
        <w:rPr>
          <w:rFonts w:ascii="Calibri" w:hAnsi="Calibri" w:cs="Arial"/>
          <w:sz w:val="20"/>
        </w:rPr>
      </w:pPr>
    </w:p>
    <w:p w14:paraId="0308A053" w14:textId="329A35EE" w:rsidR="00184412" w:rsidRPr="00184412" w:rsidRDefault="00184412" w:rsidP="00184412">
      <w:pPr>
        <w:rPr>
          <w:rFonts w:ascii="Calibri" w:hAnsi="Calibri" w:cs="Arial"/>
          <w:sz w:val="20"/>
        </w:rPr>
      </w:pPr>
      <w:r w:rsidRPr="00184412">
        <w:rPr>
          <w:rFonts w:ascii="Calibri" w:hAnsi="Calibri" w:cs="Arial"/>
          <w:sz w:val="20"/>
        </w:rPr>
        <w:t xml:space="preserve">V případě úvěrů v Česku působícím (nefinančním) </w:t>
      </w:r>
      <w:r w:rsidRPr="00184412">
        <w:rPr>
          <w:rFonts w:ascii="Calibri" w:hAnsi="Calibri" w:cs="Arial"/>
          <w:b/>
          <w:bCs/>
          <w:sz w:val="20"/>
        </w:rPr>
        <w:t xml:space="preserve">podnikům zaregistrovala ČNB růst o </w:t>
      </w:r>
      <w:r w:rsidR="00F86A82">
        <w:rPr>
          <w:rFonts w:ascii="Calibri" w:hAnsi="Calibri" w:cs="Arial"/>
          <w:b/>
          <w:bCs/>
          <w:sz w:val="20"/>
        </w:rPr>
        <w:t>3</w:t>
      </w:r>
      <w:r w:rsidRPr="00184412">
        <w:rPr>
          <w:rFonts w:ascii="Calibri" w:hAnsi="Calibri" w:cs="Arial"/>
          <w:b/>
          <w:bCs/>
          <w:sz w:val="20"/>
        </w:rPr>
        <w:t xml:space="preserve"> m</w:t>
      </w:r>
      <w:r w:rsidR="00F86A82">
        <w:rPr>
          <w:rFonts w:ascii="Calibri" w:hAnsi="Calibri" w:cs="Arial"/>
          <w:b/>
          <w:bCs/>
          <w:sz w:val="20"/>
        </w:rPr>
        <w:t>ld.</w:t>
      </w:r>
      <w:r w:rsidRPr="00184412">
        <w:rPr>
          <w:rFonts w:ascii="Calibri" w:hAnsi="Calibri" w:cs="Arial"/>
          <w:b/>
          <w:bCs/>
          <w:sz w:val="20"/>
        </w:rPr>
        <w:t xml:space="preserve"> korun na </w:t>
      </w:r>
      <w:r w:rsidR="002D4A25">
        <w:rPr>
          <w:rFonts w:ascii="Calibri" w:hAnsi="Calibri" w:cs="Arial"/>
          <w:sz w:val="20"/>
        </w:rPr>
        <w:t>1,13</w:t>
      </w:r>
      <w:r w:rsidR="00F86A82">
        <w:rPr>
          <w:rFonts w:ascii="Calibri" w:hAnsi="Calibri" w:cs="Arial"/>
          <w:sz w:val="20"/>
        </w:rPr>
        <w:t>6</w:t>
      </w:r>
      <w:r w:rsidRPr="00184412">
        <w:rPr>
          <w:rFonts w:ascii="Calibri" w:hAnsi="Calibri" w:cs="Arial"/>
          <w:sz w:val="20"/>
        </w:rPr>
        <w:t xml:space="preserve"> bilionu korun, přičemž podíl dlouhodobých úvěrů představoval 57 </w:t>
      </w:r>
      <w:r w:rsidRPr="00184412">
        <w:rPr>
          <w:rFonts w:ascii="Calibri" w:hAnsi="Calibri" w:cs="Arial"/>
          <w:bCs/>
          <w:sz w:val="20"/>
        </w:rPr>
        <w:t>%.</w:t>
      </w:r>
      <w:r w:rsidRPr="00184412">
        <w:rPr>
          <w:rFonts w:ascii="Calibri" w:hAnsi="Calibri" w:cs="Arial"/>
          <w:sz w:val="20"/>
        </w:rPr>
        <w:t xml:space="preserve"> </w:t>
      </w:r>
      <w:r w:rsidR="00263E01">
        <w:rPr>
          <w:rFonts w:ascii="Calibri" w:hAnsi="Calibri" w:cs="Arial"/>
          <w:sz w:val="20"/>
        </w:rPr>
        <w:t>Podíl</w:t>
      </w:r>
      <w:r w:rsidRPr="00184412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b/>
          <w:bCs/>
          <w:sz w:val="20"/>
        </w:rPr>
        <w:t>nevýkonných</w:t>
      </w:r>
      <w:r w:rsidRPr="00184412">
        <w:rPr>
          <w:rFonts w:ascii="Calibri" w:hAnsi="Calibri" w:cs="Arial"/>
          <w:sz w:val="20"/>
        </w:rPr>
        <w:t xml:space="preserve"> </w:t>
      </w:r>
      <w:r w:rsidRPr="00184412">
        <w:rPr>
          <w:rFonts w:ascii="Calibri" w:hAnsi="Calibri" w:cs="Arial"/>
          <w:b/>
          <w:sz w:val="20"/>
        </w:rPr>
        <w:t>úvěrů</w:t>
      </w:r>
      <w:r w:rsidRPr="00184412">
        <w:rPr>
          <w:rFonts w:ascii="Calibri" w:hAnsi="Calibri" w:cs="Arial"/>
          <w:sz w:val="20"/>
        </w:rPr>
        <w:t xml:space="preserve"> </w:t>
      </w:r>
      <w:r w:rsidR="00A95DA6">
        <w:rPr>
          <w:rFonts w:ascii="Calibri" w:hAnsi="Calibri" w:cs="Arial"/>
          <w:sz w:val="20"/>
        </w:rPr>
        <w:t xml:space="preserve">v březnu 2021 </w:t>
      </w:r>
      <w:r w:rsidR="00F86A82">
        <w:rPr>
          <w:rFonts w:ascii="Calibri" w:hAnsi="Calibri" w:cs="Arial"/>
          <w:sz w:val="20"/>
        </w:rPr>
        <w:t>dosáhl hodnoty</w:t>
      </w:r>
      <w:r w:rsidRPr="00184412">
        <w:rPr>
          <w:rFonts w:ascii="Calibri" w:hAnsi="Calibri" w:cs="Arial"/>
          <w:sz w:val="20"/>
        </w:rPr>
        <w:t xml:space="preserve"> 4,</w:t>
      </w:r>
      <w:r w:rsidR="00F86A82">
        <w:rPr>
          <w:rFonts w:ascii="Calibri" w:hAnsi="Calibri" w:cs="Arial"/>
          <w:sz w:val="20"/>
        </w:rPr>
        <w:t>4</w:t>
      </w:r>
      <w:r w:rsidRPr="00184412">
        <w:rPr>
          <w:rFonts w:ascii="Calibri" w:hAnsi="Calibri" w:cs="Arial"/>
          <w:sz w:val="20"/>
        </w:rPr>
        <w:t xml:space="preserve"> %</w:t>
      </w:r>
      <w:r w:rsidR="00F738ED">
        <w:rPr>
          <w:rFonts w:ascii="Calibri" w:hAnsi="Calibri" w:cs="Arial"/>
          <w:sz w:val="20"/>
        </w:rPr>
        <w:t xml:space="preserve"> </w:t>
      </w:r>
      <w:r w:rsidR="00F738ED" w:rsidRPr="00F738ED">
        <w:t>(meziměsíčně stoupnul o 0,2 procentního bodu)</w:t>
      </w:r>
      <w:r w:rsidRPr="00F738ED">
        <w:rPr>
          <w:rFonts w:ascii="Calibri" w:hAnsi="Calibri" w:cs="Arial"/>
          <w:sz w:val="20"/>
        </w:rPr>
        <w:t>.</w:t>
      </w:r>
    </w:p>
    <w:p w14:paraId="1AB653CD" w14:textId="2A49DB8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FB9AF6B" w14:textId="2DDD2F83" w:rsidR="00FF052C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9746DFD" w14:textId="2A7BAE12" w:rsidR="002D4A25" w:rsidRPr="00F85548" w:rsidRDefault="002D4A25" w:rsidP="008B1C16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  <w:r w:rsidRPr="00F2464A">
        <w:rPr>
          <w:rFonts w:ascii="Calibri" w:hAnsi="Calibri" w:cs="Calibri"/>
          <w:b/>
          <w:bCs/>
          <w:sz w:val="20"/>
        </w:rPr>
        <w:t>Miroslav Zámečník, ekonomický analytik ČBA:</w:t>
      </w:r>
    </w:p>
    <w:p w14:paraId="3E19424A" w14:textId="5E79F516" w:rsidR="00F86A82" w:rsidRPr="00F86A82" w:rsidRDefault="00F86A82" w:rsidP="00F86A82">
      <w:pPr>
        <w:rPr>
          <w:i/>
          <w:iCs/>
        </w:rPr>
      </w:pPr>
      <w:r w:rsidRPr="00F86A82">
        <w:rPr>
          <w:i/>
          <w:iCs/>
        </w:rPr>
        <w:t>Vývoj na úvěrovém trhu je ve znamení pokračující robustní poptávky po úvěrech na bydlení</w:t>
      </w:r>
      <w:r>
        <w:rPr>
          <w:i/>
          <w:iCs/>
        </w:rPr>
        <w:t>.</w:t>
      </w:r>
      <w:r w:rsidRPr="00F86A82">
        <w:rPr>
          <w:i/>
          <w:iCs/>
        </w:rPr>
        <w:t xml:space="preserve"> </w:t>
      </w:r>
      <w:r>
        <w:rPr>
          <w:i/>
          <w:iCs/>
        </w:rPr>
        <w:t>J</w:t>
      </w:r>
      <w:r w:rsidRPr="00F86A82">
        <w:rPr>
          <w:i/>
          <w:iCs/>
        </w:rPr>
        <w:t xml:space="preserve">ejich objem oproti předchozímu měsíci </w:t>
      </w:r>
      <w:r w:rsidR="00263E01" w:rsidRPr="00F86A82">
        <w:rPr>
          <w:i/>
          <w:iCs/>
        </w:rPr>
        <w:t xml:space="preserve">stoupnul </w:t>
      </w:r>
      <w:r w:rsidR="00263E01">
        <w:rPr>
          <w:i/>
          <w:iCs/>
        </w:rPr>
        <w:t>na</w:t>
      </w:r>
      <w:r w:rsidRPr="00F86A82">
        <w:rPr>
          <w:i/>
          <w:iCs/>
        </w:rPr>
        <w:t xml:space="preserve"> 1</w:t>
      </w:r>
      <w:r>
        <w:rPr>
          <w:i/>
          <w:iCs/>
        </w:rPr>
        <w:t>,</w:t>
      </w:r>
      <w:r w:rsidRPr="00F86A82">
        <w:rPr>
          <w:i/>
          <w:iCs/>
        </w:rPr>
        <w:t xml:space="preserve">464 </w:t>
      </w:r>
      <w:r>
        <w:rPr>
          <w:i/>
          <w:iCs/>
        </w:rPr>
        <w:t>bilionu</w:t>
      </w:r>
      <w:r w:rsidRPr="00F86A82">
        <w:rPr>
          <w:i/>
          <w:iCs/>
        </w:rPr>
        <w:t xml:space="preserve"> korun. Je velmi pravděpodobné, že již za několik měsíců pokoří hranici jeden a půl bilionu korun. S podílem 77</w:t>
      </w:r>
      <w:r w:rsidR="00ED1797">
        <w:rPr>
          <w:i/>
          <w:iCs/>
        </w:rPr>
        <w:t xml:space="preserve"> </w:t>
      </w:r>
      <w:r w:rsidRPr="00F86A82">
        <w:rPr>
          <w:i/>
          <w:iCs/>
        </w:rPr>
        <w:t>% na celkových půjčkách představují úvěry na bydlení nadále zcela dominantní a rostoucí část retailového trhu, neboť spotřebitelské úvěry rostou podstatně pomaleji, meziměsíčně jen o 0,3</w:t>
      </w:r>
      <w:r w:rsidR="00ED1797">
        <w:rPr>
          <w:i/>
          <w:iCs/>
        </w:rPr>
        <w:t xml:space="preserve"> </w:t>
      </w:r>
      <w:r w:rsidRPr="00F86A82">
        <w:rPr>
          <w:i/>
          <w:iCs/>
        </w:rPr>
        <w:t xml:space="preserve">%. Bankovní úvěrové portfolio vůči domácnostem je </w:t>
      </w:r>
      <w:r w:rsidR="00ED1797" w:rsidRPr="00F86A82">
        <w:rPr>
          <w:i/>
          <w:iCs/>
        </w:rPr>
        <w:t>i nadále</w:t>
      </w:r>
      <w:r w:rsidRPr="00F86A82">
        <w:rPr>
          <w:i/>
          <w:iCs/>
        </w:rPr>
        <w:t xml:space="preserve"> velmi </w:t>
      </w:r>
      <w:r w:rsidR="00F738ED" w:rsidRPr="00F86A82">
        <w:rPr>
          <w:i/>
          <w:iCs/>
        </w:rPr>
        <w:t>zdravé,</w:t>
      </w:r>
      <w:r w:rsidRPr="00F86A82">
        <w:rPr>
          <w:i/>
          <w:iCs/>
        </w:rPr>
        <w:t xml:space="preserve"> </w:t>
      </w:r>
      <w:r w:rsidR="00ED1797">
        <w:rPr>
          <w:i/>
          <w:iCs/>
        </w:rPr>
        <w:t xml:space="preserve">a </w:t>
      </w:r>
      <w:r w:rsidRPr="00F86A82">
        <w:rPr>
          <w:i/>
          <w:iCs/>
        </w:rPr>
        <w:t>i za březen se podařilo udržet podíl nevýkonných úvěrů pod 2</w:t>
      </w:r>
      <w:r w:rsidR="00ED1797">
        <w:rPr>
          <w:i/>
          <w:iCs/>
        </w:rPr>
        <w:t xml:space="preserve"> </w:t>
      </w:r>
      <w:r w:rsidRPr="00F86A82">
        <w:rPr>
          <w:i/>
          <w:iCs/>
        </w:rPr>
        <w:t xml:space="preserve">%. Pro srovnání </w:t>
      </w:r>
      <w:r w:rsidR="00F738ED">
        <w:rPr>
          <w:i/>
          <w:iCs/>
        </w:rPr>
        <w:t xml:space="preserve">s dobou před pěti lety </w:t>
      </w:r>
      <w:r w:rsidRPr="00F86A82">
        <w:rPr>
          <w:i/>
          <w:iCs/>
        </w:rPr>
        <w:t>jde ani ne o poloviční podíl.</w:t>
      </w:r>
    </w:p>
    <w:p w14:paraId="6A10D344" w14:textId="77777777" w:rsidR="00F86A82" w:rsidRPr="00F86A82" w:rsidRDefault="00F86A82" w:rsidP="00F86A82">
      <w:pPr>
        <w:rPr>
          <w:i/>
          <w:iCs/>
        </w:rPr>
      </w:pPr>
    </w:p>
    <w:p w14:paraId="2285D55C" w14:textId="1F444374" w:rsidR="00F86A82" w:rsidRPr="00F86A82" w:rsidRDefault="00CC0D3A" w:rsidP="00F86A82">
      <w:pPr>
        <w:rPr>
          <w:i/>
          <w:iCs/>
        </w:rPr>
      </w:pPr>
      <w:r>
        <w:rPr>
          <w:i/>
          <w:iCs/>
        </w:rPr>
        <w:t>F</w:t>
      </w:r>
      <w:r w:rsidR="00F86A82" w:rsidRPr="00F86A82">
        <w:rPr>
          <w:i/>
          <w:iCs/>
        </w:rPr>
        <w:t>iremní úvěrování</w:t>
      </w:r>
      <w:r>
        <w:rPr>
          <w:i/>
          <w:iCs/>
        </w:rPr>
        <w:t xml:space="preserve"> </w:t>
      </w:r>
      <w:r w:rsidR="00F86A82" w:rsidRPr="00F86A82">
        <w:rPr>
          <w:i/>
          <w:iCs/>
        </w:rPr>
        <w:t>zaznamenalo meziměsíční nárůst o tři miliardy korun</w:t>
      </w:r>
      <w:r>
        <w:rPr>
          <w:i/>
          <w:iCs/>
        </w:rPr>
        <w:t xml:space="preserve"> </w:t>
      </w:r>
      <w:r w:rsidR="00F86A82" w:rsidRPr="00F86A82">
        <w:rPr>
          <w:i/>
          <w:iCs/>
        </w:rPr>
        <w:t>na 1 136 miliard korun. Rovněž podíl nevýkonných úvěrů oproti loňským rekordně nízkým hladinám těsně nad třemi procenty začal výrazněji stoupat</w:t>
      </w:r>
      <w:r w:rsidR="00F738ED">
        <w:rPr>
          <w:i/>
          <w:iCs/>
        </w:rPr>
        <w:t xml:space="preserve"> a</w:t>
      </w:r>
      <w:r w:rsidR="00F86A82" w:rsidRPr="00F86A82">
        <w:rPr>
          <w:i/>
          <w:iCs/>
        </w:rPr>
        <w:t xml:space="preserve"> ke konci března dosáhl 4,4</w:t>
      </w:r>
      <w:r w:rsidR="00F738ED">
        <w:rPr>
          <w:i/>
          <w:iCs/>
        </w:rPr>
        <w:t xml:space="preserve"> </w:t>
      </w:r>
      <w:r w:rsidR="00F86A82" w:rsidRPr="00F86A82">
        <w:rPr>
          <w:i/>
          <w:iCs/>
        </w:rPr>
        <w:t>%</w:t>
      </w:r>
      <w:r w:rsidR="00F738ED">
        <w:rPr>
          <w:i/>
          <w:iCs/>
        </w:rPr>
        <w:t>.</w:t>
      </w:r>
      <w:r w:rsidR="00F86A82" w:rsidRPr="00F86A82">
        <w:rPr>
          <w:i/>
          <w:iCs/>
        </w:rPr>
        <w:t xml:space="preserve"> </w:t>
      </w:r>
      <w:r w:rsidR="00F738ED">
        <w:rPr>
          <w:i/>
          <w:iCs/>
        </w:rPr>
        <w:t>L</w:t>
      </w:r>
      <w:r w:rsidR="00F86A82" w:rsidRPr="00F86A82">
        <w:rPr>
          <w:i/>
          <w:iCs/>
        </w:rPr>
        <w:t xml:space="preserve">ze očekávat, že vzhledem k uzávěrám postihující </w:t>
      </w:r>
      <w:r w:rsidR="00263E01" w:rsidRPr="00F86A82">
        <w:rPr>
          <w:i/>
          <w:iCs/>
        </w:rPr>
        <w:t xml:space="preserve">zejména </w:t>
      </w:r>
      <w:r w:rsidR="00F86A82" w:rsidRPr="00F86A82">
        <w:rPr>
          <w:i/>
          <w:iCs/>
        </w:rPr>
        <w:t xml:space="preserve">sektor služeb bude </w:t>
      </w:r>
      <w:r w:rsidR="00F738ED">
        <w:rPr>
          <w:i/>
          <w:iCs/>
        </w:rPr>
        <w:t xml:space="preserve">tento podíl </w:t>
      </w:r>
      <w:r w:rsidR="00F86A82" w:rsidRPr="00F86A82">
        <w:rPr>
          <w:i/>
          <w:iCs/>
        </w:rPr>
        <w:t>růst, i když ekonomika jako celek přejde do fáze oživení.</w:t>
      </w:r>
    </w:p>
    <w:p w14:paraId="0356F55B" w14:textId="77777777" w:rsidR="00F86A82" w:rsidRPr="00F86A82" w:rsidRDefault="00F86A82" w:rsidP="00F86A82">
      <w:pPr>
        <w:rPr>
          <w:i/>
          <w:iCs/>
        </w:rPr>
      </w:pPr>
    </w:p>
    <w:p w14:paraId="3A0F49C0" w14:textId="3A5F7983" w:rsidR="00F86A82" w:rsidRPr="00F86A82" w:rsidRDefault="00F86A82" w:rsidP="00F86A82">
      <w:pPr>
        <w:rPr>
          <w:i/>
          <w:iCs/>
        </w:rPr>
      </w:pPr>
      <w:r w:rsidRPr="00F86A82">
        <w:rPr>
          <w:i/>
          <w:iCs/>
        </w:rPr>
        <w:t xml:space="preserve">I tak lze však konstatovat, že bankovní sektor přestál rok, který uplynul od vypuknutí pandemie v lepší </w:t>
      </w:r>
      <w:r w:rsidR="00E9566B" w:rsidRPr="00F86A82">
        <w:rPr>
          <w:i/>
          <w:iCs/>
        </w:rPr>
        <w:t>formě,</w:t>
      </w:r>
      <w:r w:rsidR="00CC0D3A">
        <w:rPr>
          <w:i/>
          <w:iCs/>
        </w:rPr>
        <w:t xml:space="preserve"> </w:t>
      </w:r>
      <w:r w:rsidRPr="00F86A82">
        <w:rPr>
          <w:i/>
          <w:iCs/>
        </w:rPr>
        <w:t>než se na začátku očekávalo</w:t>
      </w:r>
      <w:r w:rsidR="00F738ED">
        <w:rPr>
          <w:i/>
          <w:iCs/>
        </w:rPr>
        <w:t>.</w:t>
      </w:r>
      <w:r w:rsidR="00263E01">
        <w:rPr>
          <w:i/>
          <w:iCs/>
        </w:rPr>
        <w:t xml:space="preserve"> </w:t>
      </w:r>
      <w:r w:rsidR="00F738ED">
        <w:rPr>
          <w:i/>
          <w:iCs/>
        </w:rPr>
        <w:t>J</w:t>
      </w:r>
      <w:r w:rsidRPr="00F86A82">
        <w:rPr>
          <w:i/>
          <w:iCs/>
        </w:rPr>
        <w:t>eho kapitálová síla je nedotčena a je schopen financovat bez jakýchkoli problémů pozitivní obrat v českém hospodářství, kde MF ČR očekává vzestup HDP o 3,1</w:t>
      </w:r>
      <w:r w:rsidR="00F738ED">
        <w:rPr>
          <w:i/>
          <w:iCs/>
        </w:rPr>
        <w:t xml:space="preserve"> </w:t>
      </w:r>
      <w:r w:rsidRPr="00F86A82">
        <w:rPr>
          <w:i/>
          <w:iCs/>
        </w:rPr>
        <w:t xml:space="preserve">% a mnozí analytikové považují tento odhad za konzervativní. </w:t>
      </w:r>
    </w:p>
    <w:p w14:paraId="778D0C3C" w14:textId="77777777" w:rsidR="00F86A82" w:rsidRPr="00F86A82" w:rsidRDefault="00F86A82" w:rsidP="00F86A82">
      <w:pPr>
        <w:rPr>
          <w:i/>
          <w:iCs/>
        </w:rPr>
      </w:pPr>
    </w:p>
    <w:p w14:paraId="0C124A5D" w14:textId="79BF98BF" w:rsidR="00F86A82" w:rsidRDefault="00F86A82" w:rsidP="00F738ED">
      <w:pPr>
        <w:rPr>
          <w:rFonts w:ascii="Calibri" w:hAnsi="Calibri" w:cs="Calibri"/>
          <w:sz w:val="20"/>
        </w:rPr>
      </w:pPr>
      <w:r w:rsidRPr="00F86A82">
        <w:rPr>
          <w:i/>
          <w:iCs/>
        </w:rPr>
        <w:t>Celková bilanční suma bankovního sektoru v Česku je o zhruba tři bilio</w:t>
      </w:r>
      <w:r w:rsidR="00F738ED">
        <w:rPr>
          <w:i/>
          <w:iCs/>
        </w:rPr>
        <w:t>ny</w:t>
      </w:r>
      <w:r w:rsidRPr="00F86A82">
        <w:rPr>
          <w:i/>
          <w:iCs/>
        </w:rPr>
        <w:t xml:space="preserve"> korun </w:t>
      </w:r>
      <w:r w:rsidR="00F738ED" w:rsidRPr="00F86A82">
        <w:rPr>
          <w:i/>
          <w:iCs/>
        </w:rPr>
        <w:t>vyšší</w:t>
      </w:r>
      <w:r w:rsidRPr="00F86A82">
        <w:rPr>
          <w:i/>
          <w:iCs/>
        </w:rPr>
        <w:t xml:space="preserve"> než český HDP, a překračuje hranici osmi a tři čtvrtě bilionu korun (8</w:t>
      </w:r>
      <w:r w:rsidR="00CE1AFD">
        <w:rPr>
          <w:i/>
          <w:iCs/>
        </w:rPr>
        <w:t>,</w:t>
      </w:r>
      <w:r w:rsidRPr="00F86A82">
        <w:rPr>
          <w:i/>
          <w:iCs/>
        </w:rPr>
        <w:t>757 bilionu ke konci března 2021). Na straně aktiv jasně dominují úvěry rezidentům</w:t>
      </w:r>
      <w:r w:rsidR="00F738ED">
        <w:rPr>
          <w:i/>
          <w:iCs/>
        </w:rPr>
        <w:t>.</w:t>
      </w:r>
    </w:p>
    <w:p w14:paraId="50236BE8" w14:textId="79EF92B2" w:rsidR="00D873E5" w:rsidRDefault="00D873E5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BE0A359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3E7818B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361A736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9E3FAD0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5CCDF790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A4ADFB5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6752915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5D2C462A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45883E2" w14:textId="37B606B6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B73A" wp14:editId="3185F607">
                <wp:simplePos x="0" y="0"/>
                <wp:positionH relativeFrom="margin">
                  <wp:posOffset>-31750</wp:posOffset>
                </wp:positionH>
                <wp:positionV relativeFrom="paragraph">
                  <wp:posOffset>271145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7DF6C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7512EBED" w14:textId="77777777" w:rsidR="00D873E5" w:rsidRPr="00184412" w:rsidRDefault="00D873E5" w:rsidP="00D873E5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71F1DE0D" w14:textId="77777777" w:rsidR="00D873E5" w:rsidRPr="00184412" w:rsidRDefault="00D873E5" w:rsidP="00D873E5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6E09BC5" w14:textId="77777777" w:rsidR="00D873E5" w:rsidRPr="00184412" w:rsidRDefault="00D873E5" w:rsidP="00D873E5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1C4C8EE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55D2FAD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B73A" id="Obdélník 5" o:spid="_x0000_s1026" style="position:absolute;margin-left:-2.5pt;margin-top:21.35pt;width:517.7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" fillcolor="#bfbfbf [2412]" stroked="f" strokeweight="1pt">
                <v:textbox inset="3mm,3mm,3mm,3mm">
                  <w:txbxContent>
                    <w:p w14:paraId="1C07DF6C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7512EBED" w14:textId="77777777" w:rsidR="00D873E5" w:rsidRPr="00184412" w:rsidRDefault="00D873E5" w:rsidP="00D873E5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71F1DE0D" w14:textId="77777777" w:rsidR="00D873E5" w:rsidRPr="00184412" w:rsidRDefault="00D873E5" w:rsidP="00D873E5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6E09BC5" w14:textId="77777777" w:rsidR="00D873E5" w:rsidRPr="00184412" w:rsidRDefault="00D873E5" w:rsidP="00D873E5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1C4C8EE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55D2FAD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C83098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4FD199B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CCBEF73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6AE0C0F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E1169E6" w14:textId="77777777" w:rsidR="00D873E5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0D187D37" w14:textId="77777777" w:rsidR="00D873E5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F886697" w14:textId="77777777" w:rsidR="00D873E5" w:rsidRPr="00F2464A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C28BB" wp14:editId="4DF384FE">
                <wp:simplePos x="0" y="0"/>
                <wp:positionH relativeFrom="margin">
                  <wp:posOffset>4345940</wp:posOffset>
                </wp:positionH>
                <wp:positionV relativeFrom="paragraph">
                  <wp:posOffset>260985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84CB69" w14:textId="77777777" w:rsidR="00D873E5" w:rsidRPr="002D4720" w:rsidRDefault="00D873E5" w:rsidP="00D873E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F7C5A3A" w14:textId="77777777" w:rsidR="00D873E5" w:rsidRPr="002D4720" w:rsidRDefault="00D873E5" w:rsidP="00D873E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109E502B" w14:textId="77777777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4764715" w14:textId="77777777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6891B2B7" w14:textId="77777777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3881F843" w14:textId="77777777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monika.petraskova@cbaonline.cz</w:t>
                            </w:r>
                          </w:p>
                          <w:p w14:paraId="6D1DFDC0" w14:textId="77777777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329C9FAB" w14:textId="77777777" w:rsidR="00D873E5" w:rsidRPr="002D4720" w:rsidRDefault="00D873E5" w:rsidP="00D873E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28BB" id="Obdélník 200" o:spid="_x0000_s1027" style="position:absolute;left:0;text-align:left;margin-left:342.2pt;margin-top:20.55pt;width:172.7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zFGwIAABYEAAAOAAAAZHJzL2Uyb0RvYy54bWysU0tu2zAQ3RfoHQjua1l24zq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4684CB69" w14:textId="77777777" w:rsidR="00D873E5" w:rsidRPr="002D4720" w:rsidRDefault="00D873E5" w:rsidP="00D873E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F7C5A3A" w14:textId="77777777" w:rsidR="00D873E5" w:rsidRPr="002D4720" w:rsidRDefault="00D873E5" w:rsidP="00D873E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109E502B" w14:textId="77777777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4764715" w14:textId="77777777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6891B2B7" w14:textId="77777777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3881F843" w14:textId="77777777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monika.petraskova@cbaonline.cz</w:t>
                      </w:r>
                    </w:p>
                    <w:p w14:paraId="6D1DFDC0" w14:textId="77777777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329C9FAB" w14:textId="77777777" w:rsidR="00D873E5" w:rsidRPr="002D4720" w:rsidRDefault="00D873E5" w:rsidP="00D873E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1F63E" wp14:editId="07906691">
                <wp:simplePos x="0" y="0"/>
                <wp:positionH relativeFrom="margin">
                  <wp:posOffset>-34925</wp:posOffset>
                </wp:positionH>
                <wp:positionV relativeFrom="paragraph">
                  <wp:posOffset>257810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68CA1" w14:textId="77777777" w:rsidR="00D873E5" w:rsidRPr="002D4720" w:rsidRDefault="00D873E5" w:rsidP="00D873E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2C7DC6E5" w14:textId="77777777" w:rsidR="00D873E5" w:rsidRPr="002D4720" w:rsidRDefault="00D873E5" w:rsidP="00D873E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8" w:history="1">
                              <w:r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F63E" id="Obdélník 199" o:spid="_x0000_s1028" style="position:absolute;left:0;text-align:left;margin-left:-2.75pt;margin-top:20.3pt;width:340.3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6i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O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" fillcolor="#bfbfbf [2412]" stroked="f" strokeweight="1pt">
                <v:textbox inset="3mm,3mm,3mm,3mm">
                  <w:txbxContent>
                    <w:p w14:paraId="2BF68CA1" w14:textId="77777777" w:rsidR="00D873E5" w:rsidRPr="002D4720" w:rsidRDefault="00D873E5" w:rsidP="00D873E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2C7DC6E5" w14:textId="77777777" w:rsidR="00D873E5" w:rsidRPr="002D4720" w:rsidRDefault="00D873E5" w:rsidP="00D873E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9" w:history="1">
                        <w:r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BBAAF" w14:textId="77777777" w:rsidR="00D873E5" w:rsidRPr="00F2464A" w:rsidRDefault="00D873E5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D873E5" w:rsidRPr="00F2464A" w:rsidSect="00744C66">
      <w:headerReference w:type="default" r:id="rId10"/>
      <w:footerReference w:type="default" r:id="rId11"/>
      <w:pgSz w:w="11906" w:h="16838"/>
      <w:pgMar w:top="2694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59DD" w14:textId="77777777" w:rsidR="00C04909" w:rsidRDefault="00C04909" w:rsidP="00F573F1">
      <w:r>
        <w:separator/>
      </w:r>
    </w:p>
  </w:endnote>
  <w:endnote w:type="continuationSeparator" w:id="0">
    <w:p w14:paraId="45A652EF" w14:textId="77777777" w:rsidR="00C04909" w:rsidRDefault="00C04909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Pr="001E31AB">
              <w:rPr>
                <w:rFonts w:ascii="Calibri" w:hAnsi="Calibri"/>
                <w:b/>
                <w:bCs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Pr="001E31AB">
              <w:rPr>
                <w:rFonts w:ascii="Calibri" w:hAnsi="Calibri"/>
                <w:b/>
                <w:bCs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1AFF" w14:textId="77777777" w:rsidR="00C04909" w:rsidRDefault="00C04909" w:rsidP="00F573F1">
      <w:r>
        <w:separator/>
      </w:r>
    </w:p>
  </w:footnote>
  <w:footnote w:type="continuationSeparator" w:id="0">
    <w:p w14:paraId="7040A5C8" w14:textId="77777777" w:rsidR="00C04909" w:rsidRDefault="00C04909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2AB82E65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F86A82">
                            <w:rPr>
                              <w:color w:val="13576B"/>
                            </w:rPr>
                            <w:t>30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F86A82">
                            <w:rPr>
                              <w:color w:val="13576B"/>
                            </w:rPr>
                            <w:t>4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2AB82E65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F86A82">
                      <w:rPr>
                        <w:color w:val="13576B"/>
                      </w:rPr>
                      <w:t>30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F86A82">
                      <w:rPr>
                        <w:color w:val="13576B"/>
                      </w:rPr>
                      <w:t>4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862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84412"/>
    <w:rsid w:val="00195C6D"/>
    <w:rsid w:val="001A2623"/>
    <w:rsid w:val="001A46CC"/>
    <w:rsid w:val="001A6304"/>
    <w:rsid w:val="001B1060"/>
    <w:rsid w:val="001C091C"/>
    <w:rsid w:val="001C2261"/>
    <w:rsid w:val="001C6945"/>
    <w:rsid w:val="001C7F88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3E01"/>
    <w:rsid w:val="00266980"/>
    <w:rsid w:val="00267ACA"/>
    <w:rsid w:val="00270A4E"/>
    <w:rsid w:val="00275209"/>
    <w:rsid w:val="00283681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8DC"/>
    <w:rsid w:val="00315F32"/>
    <w:rsid w:val="00320811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143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02BB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2D4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1BF7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3C2A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0EAB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5DA6"/>
    <w:rsid w:val="00A96783"/>
    <w:rsid w:val="00A97F5A"/>
    <w:rsid w:val="00AA2D58"/>
    <w:rsid w:val="00AB0ED1"/>
    <w:rsid w:val="00AB23B0"/>
    <w:rsid w:val="00AB2DFC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16DF3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909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0D3A"/>
    <w:rsid w:val="00CC5AF3"/>
    <w:rsid w:val="00CC68BF"/>
    <w:rsid w:val="00CC7C45"/>
    <w:rsid w:val="00CD2DC8"/>
    <w:rsid w:val="00CE1AFD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873E5"/>
    <w:rsid w:val="00D92B66"/>
    <w:rsid w:val="00D93EB9"/>
    <w:rsid w:val="00D942A3"/>
    <w:rsid w:val="00D97E49"/>
    <w:rsid w:val="00DA4875"/>
    <w:rsid w:val="00DA4917"/>
    <w:rsid w:val="00DB35F8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77E1A"/>
    <w:rsid w:val="00E8148D"/>
    <w:rsid w:val="00E82DCF"/>
    <w:rsid w:val="00E8561A"/>
    <w:rsid w:val="00E85DE8"/>
    <w:rsid w:val="00E900CF"/>
    <w:rsid w:val="00E9372A"/>
    <w:rsid w:val="00E9566B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1797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277D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38ED"/>
    <w:rsid w:val="00F7568A"/>
    <w:rsid w:val="00F81073"/>
    <w:rsid w:val="00F83EEA"/>
    <w:rsid w:val="00F8461A"/>
    <w:rsid w:val="00F85548"/>
    <w:rsid w:val="00F86A82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46</cp:revision>
  <cp:lastPrinted>2020-09-16T06:48:00Z</cp:lastPrinted>
  <dcterms:created xsi:type="dcterms:W3CDTF">2021-03-16T14:36:00Z</dcterms:created>
  <dcterms:modified xsi:type="dcterms:W3CDTF">2021-05-01T07:16:00Z</dcterms:modified>
</cp:coreProperties>
</file>