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11B59" w14:textId="5FC77D46" w:rsidR="009139AF" w:rsidRDefault="009139AF" w:rsidP="00635F63">
      <w:pPr>
        <w:rPr>
          <w:rFonts w:cs="Arial"/>
          <w:b/>
          <w:color w:val="007E79"/>
          <w:sz w:val="32"/>
          <w:szCs w:val="28"/>
        </w:rPr>
      </w:pPr>
      <w:r w:rsidRPr="00F615BD">
        <w:rPr>
          <w:noProof/>
          <w:lang w:val="en-GB" w:eastAsia="en-GB"/>
        </w:rPr>
        <mc:AlternateContent>
          <mc:Choice Requires="wps">
            <w:drawing>
              <wp:anchor distT="45720" distB="45720" distL="114300" distR="114300" simplePos="0" relativeHeight="251656192" behindDoc="0" locked="0" layoutInCell="1" allowOverlap="1" wp14:anchorId="68A52E74" wp14:editId="0BBDBD55">
                <wp:simplePos x="0" y="0"/>
                <wp:positionH relativeFrom="margin">
                  <wp:posOffset>5181600</wp:posOffset>
                </wp:positionH>
                <wp:positionV relativeFrom="paragraph">
                  <wp:posOffset>-944245</wp:posOffset>
                </wp:positionV>
                <wp:extent cx="1239520" cy="1404620"/>
                <wp:effectExtent l="0" t="0" r="0" b="0"/>
                <wp:wrapNone/>
                <wp:docPr id="20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404620"/>
                        </a:xfrm>
                        <a:prstGeom prst="rect">
                          <a:avLst/>
                        </a:prstGeom>
                        <a:noFill/>
                        <a:ln w="9525">
                          <a:noFill/>
                          <a:miter lim="800000"/>
                          <a:headEnd/>
                          <a:tailEnd/>
                        </a:ln>
                      </wps:spPr>
                      <wps:txbx>
                        <w:txbxContent>
                          <w:p w14:paraId="093A89A6" w14:textId="77777777" w:rsidR="00536B9B" w:rsidRDefault="00536B9B" w:rsidP="00517111">
                            <w:pPr>
                              <w:spacing w:line="276" w:lineRule="auto"/>
                              <w:jc w:val="right"/>
                              <w:rPr>
                                <w:b/>
                                <w:color w:val="13576B"/>
                              </w:rPr>
                            </w:pPr>
                            <w:r w:rsidRPr="00517111">
                              <w:rPr>
                                <w:b/>
                                <w:color w:val="13576B"/>
                              </w:rPr>
                              <w:t>TISKOVÁ ZPRÁVA</w:t>
                            </w:r>
                            <w:r>
                              <w:rPr>
                                <w:b/>
                                <w:color w:val="13576B"/>
                              </w:rPr>
                              <w:t xml:space="preserve"> </w:t>
                            </w:r>
                          </w:p>
                          <w:p w14:paraId="25BF6333" w14:textId="02C0B2AB" w:rsidR="00536B9B" w:rsidRPr="00517111" w:rsidRDefault="00536B9B" w:rsidP="00517111">
                            <w:pPr>
                              <w:spacing w:line="276" w:lineRule="auto"/>
                              <w:jc w:val="right"/>
                              <w:rPr>
                                <w:b/>
                                <w:color w:val="13576B"/>
                              </w:rPr>
                            </w:pPr>
                            <w:r>
                              <w:rPr>
                                <w:color w:val="BFBFBF" w:themeColor="background1" w:themeShade="BF"/>
                              </w:rPr>
                              <w:t>11</w:t>
                            </w:r>
                            <w:r w:rsidRPr="00517111">
                              <w:rPr>
                                <w:color w:val="BFBFBF" w:themeColor="background1" w:themeShade="BF"/>
                              </w:rPr>
                              <w:t xml:space="preserve">. </w:t>
                            </w:r>
                            <w:r>
                              <w:rPr>
                                <w:color w:val="BFBFBF" w:themeColor="background1" w:themeShade="BF"/>
                              </w:rPr>
                              <w:t>2</w:t>
                            </w:r>
                            <w:r w:rsidRPr="00517111">
                              <w:rPr>
                                <w:color w:val="BFBFBF" w:themeColor="background1" w:themeShade="BF"/>
                              </w:rPr>
                              <w:t>. 20</w:t>
                            </w:r>
                            <w:r>
                              <w:rPr>
                                <w:color w:val="BFBFBF" w:themeColor="background1" w:themeShade="BF"/>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A52E74" id="_x0000_t202" coordsize="21600,21600" o:spt="202" path="m,l,21600r21600,l21600,xe">
                <v:stroke joinstyle="miter"/>
                <v:path gradientshapeok="t" o:connecttype="rect"/>
              </v:shapetype>
              <v:shape id="Textové pole 2" o:spid="_x0000_s1026" type="#_x0000_t202" style="position:absolute;left:0;text-align:left;margin-left:408pt;margin-top:-74.35pt;width:97.6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" filled="f" stroked="f">
                <v:textbox style="mso-fit-shape-to-text:t">
                  <w:txbxContent>
                    <w:p w14:paraId="093A89A6" w14:textId="77777777" w:rsidR="00536B9B" w:rsidRDefault="00536B9B" w:rsidP="00517111">
                      <w:pPr>
                        <w:spacing w:line="276" w:lineRule="auto"/>
                        <w:jc w:val="right"/>
                        <w:rPr>
                          <w:b/>
                          <w:color w:val="13576B"/>
                        </w:rPr>
                      </w:pPr>
                      <w:r w:rsidRPr="00517111">
                        <w:rPr>
                          <w:b/>
                          <w:color w:val="13576B"/>
                        </w:rPr>
                        <w:t>TISKOVÁ ZPRÁVA</w:t>
                      </w:r>
                      <w:r>
                        <w:rPr>
                          <w:b/>
                          <w:color w:val="13576B"/>
                        </w:rPr>
                        <w:t xml:space="preserve"> </w:t>
                      </w:r>
                    </w:p>
                    <w:p w14:paraId="25BF6333" w14:textId="02C0B2AB" w:rsidR="00536B9B" w:rsidRPr="00517111" w:rsidRDefault="00536B9B" w:rsidP="00517111">
                      <w:pPr>
                        <w:spacing w:line="276" w:lineRule="auto"/>
                        <w:jc w:val="right"/>
                        <w:rPr>
                          <w:b/>
                          <w:color w:val="13576B"/>
                        </w:rPr>
                      </w:pPr>
                      <w:r>
                        <w:rPr>
                          <w:color w:val="BFBFBF" w:themeColor="background1" w:themeShade="BF"/>
                        </w:rPr>
                        <w:t>11</w:t>
                      </w:r>
                      <w:r w:rsidRPr="00517111">
                        <w:rPr>
                          <w:color w:val="BFBFBF" w:themeColor="background1" w:themeShade="BF"/>
                        </w:rPr>
                        <w:t xml:space="preserve">. </w:t>
                      </w:r>
                      <w:r>
                        <w:rPr>
                          <w:color w:val="BFBFBF" w:themeColor="background1" w:themeShade="BF"/>
                        </w:rPr>
                        <w:t>2</w:t>
                      </w:r>
                      <w:r w:rsidRPr="00517111">
                        <w:rPr>
                          <w:color w:val="BFBFBF" w:themeColor="background1" w:themeShade="BF"/>
                        </w:rPr>
                        <w:t>. 20</w:t>
                      </w:r>
                      <w:r>
                        <w:rPr>
                          <w:color w:val="BFBFBF" w:themeColor="background1" w:themeShade="BF"/>
                        </w:rPr>
                        <w:t>21</w:t>
                      </w:r>
                    </w:p>
                  </w:txbxContent>
                </v:textbox>
                <w10:wrap anchorx="margin"/>
              </v:shape>
            </w:pict>
          </mc:Fallback>
        </mc:AlternateContent>
      </w:r>
      <w:r w:rsidRPr="00C74048">
        <w:rPr>
          <w:rFonts w:cs="Arial"/>
          <w:b/>
          <w:color w:val="007E79"/>
          <w:sz w:val="32"/>
          <w:szCs w:val="28"/>
        </w:rPr>
        <w:t>M</w:t>
      </w:r>
      <w:r w:rsidRPr="009139AF">
        <w:rPr>
          <w:rFonts w:cs="Arial"/>
          <w:b/>
          <w:color w:val="007E79"/>
          <w:sz w:val="32"/>
          <w:szCs w:val="28"/>
        </w:rPr>
        <w:t xml:space="preserve">AKROEKONOMICKÁ PROGNÓZA </w:t>
      </w:r>
      <w:r w:rsidR="00B64486">
        <w:rPr>
          <w:rFonts w:cs="Arial"/>
          <w:b/>
          <w:color w:val="007E79"/>
          <w:sz w:val="32"/>
          <w:szCs w:val="28"/>
        </w:rPr>
        <w:t xml:space="preserve">ČBA: </w:t>
      </w:r>
      <w:r w:rsidR="008C3E6D">
        <w:rPr>
          <w:rFonts w:cs="Arial"/>
          <w:b/>
          <w:color w:val="007E79"/>
          <w:sz w:val="32"/>
          <w:szCs w:val="28"/>
        </w:rPr>
        <w:t>Česká ekonomika letos</w:t>
      </w:r>
      <w:r w:rsidR="00B64486">
        <w:rPr>
          <w:rFonts w:cs="Arial"/>
          <w:b/>
          <w:color w:val="007E79"/>
          <w:sz w:val="32"/>
          <w:szCs w:val="28"/>
        </w:rPr>
        <w:t xml:space="preserve"> poroste o 2,6 %, příští rok o 4,6 %</w:t>
      </w:r>
    </w:p>
    <w:p w14:paraId="27792D8C" w14:textId="77777777" w:rsidR="008C3E6D" w:rsidRDefault="008C3E6D" w:rsidP="00635F63">
      <w:pPr>
        <w:rPr>
          <w:rFonts w:cs="Arial"/>
          <w:b/>
          <w:color w:val="007E79"/>
          <w:sz w:val="32"/>
          <w:szCs w:val="28"/>
        </w:rPr>
      </w:pPr>
    </w:p>
    <w:p w14:paraId="07C7C74A" w14:textId="70C44BE5" w:rsidR="00B64486" w:rsidRPr="00B4285D" w:rsidRDefault="00B64486" w:rsidP="00635F63">
      <w:pPr>
        <w:rPr>
          <w:rFonts w:cs="Arial"/>
          <w:b/>
          <w:color w:val="007E79"/>
          <w:sz w:val="24"/>
          <w:szCs w:val="24"/>
        </w:rPr>
      </w:pPr>
      <w:r w:rsidRPr="00B4285D">
        <w:rPr>
          <w:rFonts w:cs="Arial"/>
          <w:b/>
          <w:color w:val="007E79"/>
          <w:sz w:val="24"/>
          <w:szCs w:val="24"/>
        </w:rPr>
        <w:t xml:space="preserve">Hlavní ekonomové </w:t>
      </w:r>
      <w:r>
        <w:rPr>
          <w:rFonts w:cs="Arial"/>
          <w:b/>
          <w:color w:val="007E79"/>
          <w:sz w:val="24"/>
          <w:szCs w:val="24"/>
        </w:rPr>
        <w:t xml:space="preserve">bank </w:t>
      </w:r>
      <w:r w:rsidR="002207A6">
        <w:rPr>
          <w:rFonts w:cs="Arial"/>
          <w:b/>
          <w:color w:val="007E79"/>
          <w:sz w:val="24"/>
          <w:szCs w:val="24"/>
        </w:rPr>
        <w:t xml:space="preserve">zlepšili odhad </w:t>
      </w:r>
      <w:r w:rsidRPr="00B4285D">
        <w:rPr>
          <w:rFonts w:cs="Arial"/>
          <w:b/>
          <w:color w:val="007E79"/>
          <w:sz w:val="24"/>
          <w:szCs w:val="24"/>
        </w:rPr>
        <w:t xml:space="preserve">vývoje HDP v následujících dvou letech </w:t>
      </w:r>
    </w:p>
    <w:p w14:paraId="5929A451" w14:textId="77777777" w:rsidR="00B64486" w:rsidRPr="009139AF" w:rsidRDefault="00B64486" w:rsidP="00725295">
      <w:pPr>
        <w:rPr>
          <w:rFonts w:cs="Arial"/>
          <w:b/>
          <w:color w:val="007E79"/>
          <w:sz w:val="32"/>
          <w:szCs w:val="28"/>
        </w:rPr>
      </w:pPr>
    </w:p>
    <w:p w14:paraId="61E53822" w14:textId="64197251" w:rsidR="007E33A6" w:rsidRPr="00242192" w:rsidRDefault="009139AF" w:rsidP="00B4285D">
      <w:pPr>
        <w:rPr>
          <w:rFonts w:cs="Arial"/>
          <w:b/>
          <w:color w:val="007E79"/>
          <w:szCs w:val="22"/>
        </w:rPr>
      </w:pPr>
      <w:r w:rsidRPr="00B4285D">
        <w:rPr>
          <w:rFonts w:cs="Arial"/>
          <w:b/>
          <w:color w:val="007E79"/>
          <w:sz w:val="20"/>
        </w:rPr>
        <w:t xml:space="preserve">Praha, </w:t>
      </w:r>
      <w:r w:rsidR="00F860E1" w:rsidRPr="00B4285D">
        <w:rPr>
          <w:rFonts w:cs="Arial"/>
          <w:b/>
          <w:color w:val="007E79"/>
          <w:sz w:val="20"/>
        </w:rPr>
        <w:t>11</w:t>
      </w:r>
      <w:r w:rsidRPr="00B4285D">
        <w:rPr>
          <w:rFonts w:cs="Arial"/>
          <w:b/>
          <w:color w:val="007E79"/>
          <w:sz w:val="20"/>
        </w:rPr>
        <w:t xml:space="preserve">. </w:t>
      </w:r>
      <w:r w:rsidR="00F860E1" w:rsidRPr="00B4285D">
        <w:rPr>
          <w:rFonts w:cs="Arial"/>
          <w:b/>
          <w:color w:val="007E79"/>
          <w:sz w:val="20"/>
        </w:rPr>
        <w:t>února</w:t>
      </w:r>
      <w:r w:rsidRPr="00B4285D">
        <w:rPr>
          <w:rFonts w:cs="Arial"/>
          <w:b/>
          <w:color w:val="007E79"/>
          <w:sz w:val="20"/>
        </w:rPr>
        <w:t xml:space="preserve"> 20</w:t>
      </w:r>
      <w:r w:rsidR="007F6300" w:rsidRPr="00B4285D">
        <w:rPr>
          <w:rFonts w:cs="Arial"/>
          <w:b/>
          <w:color w:val="007E79"/>
          <w:sz w:val="20"/>
        </w:rPr>
        <w:t>2</w:t>
      </w:r>
      <w:r w:rsidR="00F860E1" w:rsidRPr="00B4285D">
        <w:rPr>
          <w:rFonts w:cs="Arial"/>
          <w:b/>
          <w:color w:val="007E79"/>
          <w:sz w:val="20"/>
        </w:rPr>
        <w:t>1</w:t>
      </w:r>
      <w:r w:rsidR="00EB43F5">
        <w:rPr>
          <w:rFonts w:cs="Arial"/>
          <w:b/>
          <w:color w:val="007E79"/>
          <w:sz w:val="20"/>
        </w:rPr>
        <w:t xml:space="preserve"> –</w:t>
      </w:r>
      <w:r w:rsidR="000766D5" w:rsidRPr="00B4285D">
        <w:rPr>
          <w:rFonts w:cs="Arial"/>
          <w:b/>
          <w:color w:val="007E79"/>
          <w:sz w:val="20"/>
        </w:rPr>
        <w:t xml:space="preserve"> </w:t>
      </w:r>
      <w:r w:rsidR="003727EB" w:rsidRPr="00B4285D">
        <w:rPr>
          <w:rFonts w:cs="Arial"/>
          <w:b/>
          <w:color w:val="007E79"/>
          <w:sz w:val="20"/>
        </w:rPr>
        <w:t>Hlavní ekonomové bank zastoupení v prognostickém panelu České bankovní asociace (ČBA)</w:t>
      </w:r>
      <w:r w:rsidR="007E33A6" w:rsidRPr="00B4285D">
        <w:rPr>
          <w:rFonts w:cs="Arial"/>
          <w:b/>
          <w:color w:val="007E79"/>
          <w:sz w:val="20"/>
        </w:rPr>
        <w:t xml:space="preserve"> přehodnotili</w:t>
      </w:r>
      <w:r w:rsidR="00B64486" w:rsidRPr="00B4285D">
        <w:rPr>
          <w:rFonts w:cs="Arial"/>
          <w:b/>
          <w:color w:val="007E79"/>
          <w:sz w:val="20"/>
        </w:rPr>
        <w:t>, s</w:t>
      </w:r>
      <w:r w:rsidR="00D7765B">
        <w:rPr>
          <w:rFonts w:cs="Arial"/>
          <w:b/>
          <w:color w:val="007E79"/>
          <w:sz w:val="20"/>
        </w:rPr>
        <w:t> </w:t>
      </w:r>
      <w:r w:rsidR="00B64486" w:rsidRPr="00B4285D">
        <w:rPr>
          <w:rFonts w:cs="Arial"/>
          <w:b/>
          <w:color w:val="007E79"/>
          <w:sz w:val="20"/>
        </w:rPr>
        <w:t>ohledem</w:t>
      </w:r>
      <w:r w:rsidR="00D7765B">
        <w:rPr>
          <w:rFonts w:cs="Arial"/>
          <w:b/>
          <w:color w:val="007E79"/>
          <w:sz w:val="20"/>
        </w:rPr>
        <w:t xml:space="preserve"> na</w:t>
      </w:r>
      <w:r w:rsidR="00B64486" w:rsidRPr="00B4285D">
        <w:rPr>
          <w:rFonts w:cs="Arial"/>
          <w:b/>
          <w:color w:val="007E79"/>
          <w:sz w:val="20"/>
        </w:rPr>
        <w:t xml:space="preserve"> </w:t>
      </w:r>
      <w:r w:rsidR="005F4524">
        <w:rPr>
          <w:rFonts w:cs="Arial"/>
          <w:b/>
          <w:color w:val="007E79"/>
          <w:sz w:val="20"/>
        </w:rPr>
        <w:t>nižší než očekávaný pokles</w:t>
      </w:r>
      <w:r w:rsidR="00B64486" w:rsidRPr="00B4285D">
        <w:rPr>
          <w:rFonts w:cs="Arial"/>
          <w:b/>
          <w:color w:val="007E79"/>
          <w:sz w:val="20"/>
        </w:rPr>
        <w:t xml:space="preserve"> ekonomiky v posledním loňském čtvrtletí, směrem</w:t>
      </w:r>
      <w:r w:rsidR="007E33A6" w:rsidRPr="00B4285D">
        <w:rPr>
          <w:rFonts w:cs="Arial"/>
          <w:b/>
          <w:color w:val="007E79"/>
          <w:sz w:val="20"/>
        </w:rPr>
        <w:t xml:space="preserve"> vzhůru </w:t>
      </w:r>
      <w:r w:rsidR="00D7765B">
        <w:rPr>
          <w:rFonts w:cs="Arial"/>
          <w:b/>
          <w:color w:val="007E79"/>
          <w:sz w:val="20"/>
        </w:rPr>
        <w:t>svo</w:t>
      </w:r>
      <w:r w:rsidR="00C15C17">
        <w:rPr>
          <w:rFonts w:cs="Arial"/>
          <w:b/>
          <w:color w:val="007E79"/>
          <w:sz w:val="20"/>
        </w:rPr>
        <w:t>u do</w:t>
      </w:r>
      <w:r w:rsidR="005C3C3C">
        <w:rPr>
          <w:rFonts w:cs="Arial"/>
          <w:b/>
          <w:color w:val="007E79"/>
          <w:sz w:val="20"/>
        </w:rPr>
        <w:t>s</w:t>
      </w:r>
      <w:r w:rsidR="00C15C17">
        <w:rPr>
          <w:rFonts w:cs="Arial"/>
          <w:b/>
          <w:color w:val="007E79"/>
          <w:sz w:val="20"/>
        </w:rPr>
        <w:t>avadní</w:t>
      </w:r>
      <w:r w:rsidR="00D7765B">
        <w:rPr>
          <w:rFonts w:cs="Arial"/>
          <w:b/>
          <w:color w:val="007E79"/>
          <w:sz w:val="20"/>
        </w:rPr>
        <w:t xml:space="preserve"> </w:t>
      </w:r>
      <w:r w:rsidR="007E33A6" w:rsidRPr="00B4285D">
        <w:rPr>
          <w:rFonts w:cs="Arial"/>
          <w:b/>
          <w:color w:val="007E79"/>
          <w:sz w:val="20"/>
        </w:rPr>
        <w:t xml:space="preserve">prognózu růstu HDP na letošek i na rok 2022. </w:t>
      </w:r>
      <w:r w:rsidR="009F1744" w:rsidRPr="00B4285D">
        <w:rPr>
          <w:rFonts w:cs="Arial"/>
          <w:b/>
          <w:color w:val="007E79"/>
          <w:sz w:val="20"/>
        </w:rPr>
        <w:t xml:space="preserve">Pro letošní rok odhadují </w:t>
      </w:r>
      <w:r w:rsidR="007E33A6" w:rsidRPr="00B4285D">
        <w:rPr>
          <w:rFonts w:cs="Arial"/>
          <w:b/>
          <w:color w:val="007E79"/>
          <w:sz w:val="20"/>
        </w:rPr>
        <w:t>hospodářský růst</w:t>
      </w:r>
      <w:r w:rsidR="005F4524">
        <w:rPr>
          <w:rFonts w:cs="Arial"/>
          <w:b/>
          <w:color w:val="007E79"/>
          <w:sz w:val="20"/>
        </w:rPr>
        <w:t xml:space="preserve"> na </w:t>
      </w:r>
      <w:r w:rsidR="005F4524" w:rsidRPr="00B4285D">
        <w:rPr>
          <w:rFonts w:cs="Arial"/>
          <w:b/>
          <w:color w:val="007E79"/>
          <w:sz w:val="20"/>
        </w:rPr>
        <w:t>2,6</w:t>
      </w:r>
      <w:r w:rsidR="005C3C3C">
        <w:rPr>
          <w:rFonts w:cs="Arial"/>
          <w:b/>
          <w:color w:val="007E79"/>
          <w:sz w:val="20"/>
        </w:rPr>
        <w:t xml:space="preserve"> </w:t>
      </w:r>
      <w:r w:rsidR="005F4524" w:rsidRPr="00B4285D">
        <w:rPr>
          <w:rFonts w:cs="Arial"/>
          <w:b/>
          <w:color w:val="007E79"/>
          <w:sz w:val="20"/>
        </w:rPr>
        <w:t>%</w:t>
      </w:r>
      <w:r w:rsidR="007E33A6" w:rsidRPr="00B4285D">
        <w:rPr>
          <w:rFonts w:cs="Arial"/>
          <w:b/>
          <w:color w:val="007E79"/>
          <w:sz w:val="20"/>
        </w:rPr>
        <w:t xml:space="preserve">, </w:t>
      </w:r>
      <w:r w:rsidR="009F1744" w:rsidRPr="00B4285D">
        <w:rPr>
          <w:rFonts w:cs="Arial"/>
          <w:b/>
          <w:color w:val="007E79"/>
          <w:sz w:val="20"/>
        </w:rPr>
        <w:t xml:space="preserve">pro rok 2022 </w:t>
      </w:r>
      <w:r w:rsidR="005F4524">
        <w:rPr>
          <w:rFonts w:cs="Arial"/>
          <w:b/>
          <w:color w:val="007E79"/>
          <w:sz w:val="20"/>
        </w:rPr>
        <w:t>zrychlení na 4,6 %</w:t>
      </w:r>
      <w:r w:rsidR="009F1744" w:rsidRPr="00B4285D">
        <w:rPr>
          <w:rFonts w:cs="Arial"/>
          <w:b/>
          <w:color w:val="007E79"/>
          <w:sz w:val="20"/>
        </w:rPr>
        <w:t xml:space="preserve">. </w:t>
      </w:r>
      <w:r w:rsidR="00D7765B">
        <w:rPr>
          <w:rFonts w:cs="Arial"/>
          <w:b/>
          <w:color w:val="007E79"/>
          <w:sz w:val="20"/>
        </w:rPr>
        <w:t>Většina rizik</w:t>
      </w:r>
      <w:r w:rsidR="008B1328">
        <w:rPr>
          <w:rFonts w:cs="Arial"/>
          <w:b/>
          <w:color w:val="007E79"/>
          <w:sz w:val="20"/>
        </w:rPr>
        <w:t>,</w:t>
      </w:r>
      <w:r w:rsidR="00D7765B">
        <w:rPr>
          <w:rFonts w:cs="Arial"/>
          <w:b/>
          <w:color w:val="007E79"/>
          <w:sz w:val="20"/>
        </w:rPr>
        <w:t xml:space="preserve"> jež by mohly tento vývoj oslabit, souvisí</w:t>
      </w:r>
      <w:r w:rsidR="007E33A6" w:rsidRPr="00B4285D">
        <w:rPr>
          <w:rFonts w:cs="Arial"/>
          <w:b/>
          <w:color w:val="007E79"/>
          <w:sz w:val="20"/>
        </w:rPr>
        <w:t xml:space="preserve"> s</w:t>
      </w:r>
      <w:r w:rsidR="00D7765B">
        <w:rPr>
          <w:rFonts w:cs="Arial"/>
          <w:b/>
          <w:color w:val="007E79"/>
          <w:sz w:val="20"/>
        </w:rPr>
        <w:t xml:space="preserve"> nejistotou ohledně </w:t>
      </w:r>
      <w:r w:rsidR="007E33A6" w:rsidRPr="00B4285D">
        <w:rPr>
          <w:rFonts w:cs="Arial"/>
          <w:b/>
          <w:color w:val="007E79"/>
          <w:sz w:val="20"/>
        </w:rPr>
        <w:t>další</w:t>
      </w:r>
      <w:r w:rsidR="00D7765B">
        <w:rPr>
          <w:rFonts w:cs="Arial"/>
          <w:b/>
          <w:color w:val="007E79"/>
          <w:sz w:val="20"/>
        </w:rPr>
        <w:t>ho vývoje</w:t>
      </w:r>
      <w:r w:rsidR="007E33A6" w:rsidRPr="00B4285D">
        <w:rPr>
          <w:rFonts w:cs="Arial"/>
          <w:b/>
          <w:color w:val="007E79"/>
          <w:sz w:val="20"/>
        </w:rPr>
        <w:t xml:space="preserve"> </w:t>
      </w:r>
      <w:r w:rsidR="00D7765B">
        <w:rPr>
          <w:rFonts w:cs="Arial"/>
          <w:b/>
          <w:color w:val="007E79"/>
          <w:sz w:val="20"/>
        </w:rPr>
        <w:t>Covid-19</w:t>
      </w:r>
      <w:r w:rsidR="007E33A6" w:rsidRPr="00B4285D">
        <w:rPr>
          <w:rFonts w:cs="Arial"/>
          <w:b/>
          <w:color w:val="007E79"/>
          <w:sz w:val="20"/>
        </w:rPr>
        <w:t xml:space="preserve"> a jeho hospodářskými dopady. </w:t>
      </w:r>
    </w:p>
    <w:p w14:paraId="47BA50B7" w14:textId="77777777" w:rsidR="008B1328" w:rsidRDefault="008B1328" w:rsidP="00B4285D">
      <w:pPr>
        <w:rPr>
          <w:sz w:val="20"/>
        </w:rPr>
      </w:pPr>
    </w:p>
    <w:p w14:paraId="06F98DE1" w14:textId="462C7D3D" w:rsidR="008B1328" w:rsidRDefault="00D7765B" w:rsidP="00B4285D">
      <w:pPr>
        <w:rPr>
          <w:sz w:val="20"/>
        </w:rPr>
      </w:pPr>
      <w:r>
        <w:rPr>
          <w:sz w:val="20"/>
        </w:rPr>
        <w:t>N</w:t>
      </w:r>
      <w:r w:rsidR="0068337D" w:rsidRPr="00B4285D">
        <w:rPr>
          <w:sz w:val="20"/>
        </w:rPr>
        <w:t xml:space="preserve">ástup druhé vlny </w:t>
      </w:r>
      <w:r w:rsidR="008B1328">
        <w:rPr>
          <w:sz w:val="20"/>
        </w:rPr>
        <w:t>na podzim roku 2020 zmařil</w:t>
      </w:r>
      <w:r w:rsidR="00EF1FB7" w:rsidRPr="00B4285D">
        <w:rPr>
          <w:sz w:val="20"/>
        </w:rPr>
        <w:t xml:space="preserve"> naděje na rychlé oživení</w:t>
      </w:r>
      <w:r w:rsidR="004D7651" w:rsidRPr="00B4285D">
        <w:rPr>
          <w:sz w:val="20"/>
        </w:rPr>
        <w:t xml:space="preserve"> české ekonomiky</w:t>
      </w:r>
      <w:r w:rsidR="00EF1FB7" w:rsidRPr="00B4285D">
        <w:rPr>
          <w:sz w:val="20"/>
        </w:rPr>
        <w:t xml:space="preserve">, které by následovalo po </w:t>
      </w:r>
      <w:r w:rsidR="004D7651" w:rsidRPr="00B4285D">
        <w:rPr>
          <w:sz w:val="20"/>
        </w:rPr>
        <w:t xml:space="preserve">jejím </w:t>
      </w:r>
      <w:r w:rsidR="00EF1FB7" w:rsidRPr="00B4285D">
        <w:rPr>
          <w:sz w:val="20"/>
        </w:rPr>
        <w:t xml:space="preserve">hlubokém jarním poklesu. Po slibném 3. čtvrtletí </w:t>
      </w:r>
      <w:r w:rsidR="004D7651" w:rsidRPr="00B4285D">
        <w:rPr>
          <w:sz w:val="20"/>
        </w:rPr>
        <w:t xml:space="preserve">2020 </w:t>
      </w:r>
      <w:r>
        <w:rPr>
          <w:sz w:val="20"/>
        </w:rPr>
        <w:t xml:space="preserve">tak </w:t>
      </w:r>
      <w:r w:rsidR="007F1F07" w:rsidRPr="00B4285D">
        <w:rPr>
          <w:sz w:val="20"/>
        </w:rPr>
        <w:t xml:space="preserve">analytici očekávali, že </w:t>
      </w:r>
      <w:r w:rsidR="00EF1FB7" w:rsidRPr="00B4285D">
        <w:rPr>
          <w:sz w:val="20"/>
        </w:rPr>
        <w:t xml:space="preserve">se výkon českého hospodářství v reakci na vládou přijatá restriktivní opatření </w:t>
      </w:r>
      <w:r w:rsidR="008B1328">
        <w:rPr>
          <w:sz w:val="20"/>
        </w:rPr>
        <w:t xml:space="preserve">opět </w:t>
      </w:r>
      <w:r w:rsidR="00EF1FB7" w:rsidRPr="00B4285D">
        <w:rPr>
          <w:sz w:val="20"/>
        </w:rPr>
        <w:t>propad</w:t>
      </w:r>
      <w:r w:rsidR="007F1F07" w:rsidRPr="00B4285D">
        <w:rPr>
          <w:sz w:val="20"/>
        </w:rPr>
        <w:t>ne</w:t>
      </w:r>
      <w:r w:rsidR="00EF1FB7" w:rsidRPr="00B4285D">
        <w:rPr>
          <w:sz w:val="20"/>
        </w:rPr>
        <w:t xml:space="preserve"> do záporných čísel</w:t>
      </w:r>
      <w:r w:rsidR="004D7651" w:rsidRPr="00B4285D">
        <w:rPr>
          <w:sz w:val="20"/>
        </w:rPr>
        <w:t>.</w:t>
      </w:r>
    </w:p>
    <w:p w14:paraId="69EBE379" w14:textId="77777777" w:rsidR="00F93181" w:rsidRDefault="00F93181" w:rsidP="00B4285D">
      <w:pPr>
        <w:rPr>
          <w:sz w:val="20"/>
        </w:rPr>
      </w:pPr>
    </w:p>
    <w:p w14:paraId="77E0155D" w14:textId="2822EA13" w:rsidR="0068337D" w:rsidRDefault="00EF1FB7" w:rsidP="00B4285D">
      <w:pPr>
        <w:rPr>
          <w:sz w:val="20"/>
        </w:rPr>
      </w:pPr>
      <w:r w:rsidRPr="00B4285D">
        <w:rPr>
          <w:sz w:val="20"/>
        </w:rPr>
        <w:t xml:space="preserve">Na začátku února zveřejněný </w:t>
      </w:r>
      <w:r w:rsidR="007F1F07" w:rsidRPr="00B4285D">
        <w:rPr>
          <w:sz w:val="20"/>
        </w:rPr>
        <w:t xml:space="preserve">předběžný </w:t>
      </w:r>
      <w:r w:rsidRPr="00B4285D">
        <w:rPr>
          <w:sz w:val="20"/>
        </w:rPr>
        <w:t xml:space="preserve">odhad ČSÚ </w:t>
      </w:r>
      <w:r w:rsidR="007F1F07" w:rsidRPr="00B4285D">
        <w:rPr>
          <w:sz w:val="20"/>
        </w:rPr>
        <w:t>však</w:t>
      </w:r>
      <w:r w:rsidR="004D7651" w:rsidRPr="00B4285D">
        <w:rPr>
          <w:sz w:val="20"/>
        </w:rPr>
        <w:t xml:space="preserve"> </w:t>
      </w:r>
      <w:r w:rsidR="008B1328">
        <w:rPr>
          <w:sz w:val="20"/>
        </w:rPr>
        <w:t>tato</w:t>
      </w:r>
      <w:r w:rsidR="007204F9" w:rsidRPr="00B4285D">
        <w:rPr>
          <w:sz w:val="20"/>
        </w:rPr>
        <w:t xml:space="preserve"> očekávání</w:t>
      </w:r>
      <w:r w:rsidR="007F1F07" w:rsidRPr="00B4285D">
        <w:rPr>
          <w:sz w:val="20"/>
        </w:rPr>
        <w:t xml:space="preserve"> nepotvrdil</w:t>
      </w:r>
      <w:r w:rsidR="00F93181">
        <w:rPr>
          <w:sz w:val="20"/>
        </w:rPr>
        <w:t xml:space="preserve"> – </w:t>
      </w:r>
      <w:r w:rsidR="007F1F07" w:rsidRPr="00B4285D">
        <w:rPr>
          <w:sz w:val="20"/>
        </w:rPr>
        <w:t xml:space="preserve">HDP ve 4. čtvrtletí </w:t>
      </w:r>
      <w:r w:rsidR="00224284">
        <w:rPr>
          <w:sz w:val="20"/>
        </w:rPr>
        <w:t>vz</w:t>
      </w:r>
      <w:r w:rsidR="007F1F07" w:rsidRPr="00B4285D">
        <w:rPr>
          <w:sz w:val="20"/>
        </w:rPr>
        <w:t xml:space="preserve">rostl mezičtvrtletně </w:t>
      </w:r>
      <w:r w:rsidR="00B36071" w:rsidRPr="00B4285D">
        <w:rPr>
          <w:sz w:val="20"/>
        </w:rPr>
        <w:t>o</w:t>
      </w:r>
      <w:r w:rsidR="007F1F07" w:rsidRPr="00B4285D">
        <w:rPr>
          <w:sz w:val="20"/>
        </w:rPr>
        <w:t xml:space="preserve"> 0,3 %</w:t>
      </w:r>
      <w:r w:rsidR="00224284">
        <w:rPr>
          <w:sz w:val="20"/>
        </w:rPr>
        <w:t xml:space="preserve"> (</w:t>
      </w:r>
      <w:r w:rsidR="007F1F07" w:rsidRPr="00B4285D">
        <w:rPr>
          <w:sz w:val="20"/>
        </w:rPr>
        <w:t>oproti stejnému čtvrtletí předchozího roku poklesl o 5 %</w:t>
      </w:r>
      <w:r w:rsidR="00224284">
        <w:rPr>
          <w:sz w:val="20"/>
        </w:rPr>
        <w:t>)</w:t>
      </w:r>
      <w:r w:rsidR="007F1F07" w:rsidRPr="00B4285D">
        <w:rPr>
          <w:sz w:val="20"/>
        </w:rPr>
        <w:t xml:space="preserve">. </w:t>
      </w:r>
      <w:r w:rsidR="00224284">
        <w:rPr>
          <w:sz w:val="20"/>
        </w:rPr>
        <w:t xml:space="preserve">I tak </w:t>
      </w:r>
      <w:r w:rsidR="00B36071" w:rsidRPr="00B4285D">
        <w:rPr>
          <w:sz w:val="20"/>
        </w:rPr>
        <w:t xml:space="preserve">byl </w:t>
      </w:r>
      <w:r w:rsidR="00224284">
        <w:rPr>
          <w:sz w:val="20"/>
        </w:rPr>
        <w:t xml:space="preserve">výsledkem </w:t>
      </w:r>
      <w:r w:rsidR="00B36071" w:rsidRPr="00B4285D">
        <w:rPr>
          <w:sz w:val="20"/>
        </w:rPr>
        <w:t>nejhlubší celoroční pokles za dobu trvání ČR ve výši 5,6 %</w:t>
      </w:r>
      <w:r w:rsidR="004D7651" w:rsidRPr="00B4285D">
        <w:rPr>
          <w:sz w:val="20"/>
        </w:rPr>
        <w:t>. Z</w:t>
      </w:r>
      <w:r w:rsidR="00537656" w:rsidRPr="00B4285D">
        <w:rPr>
          <w:sz w:val="20"/>
        </w:rPr>
        <w:t>a příznivějším</w:t>
      </w:r>
      <w:r w:rsidR="004D7651" w:rsidRPr="00B4285D">
        <w:rPr>
          <w:sz w:val="20"/>
        </w:rPr>
        <w:t xml:space="preserve"> </w:t>
      </w:r>
      <w:r w:rsidR="00F93181">
        <w:rPr>
          <w:sz w:val="20"/>
        </w:rPr>
        <w:t xml:space="preserve">než očekávaným </w:t>
      </w:r>
      <w:r w:rsidR="00537656" w:rsidRPr="00B4285D">
        <w:rPr>
          <w:sz w:val="20"/>
        </w:rPr>
        <w:t>vývojem</w:t>
      </w:r>
      <w:r w:rsidR="004D7651" w:rsidRPr="00B4285D">
        <w:rPr>
          <w:sz w:val="20"/>
        </w:rPr>
        <w:t xml:space="preserve"> stojí pravděpodobně </w:t>
      </w:r>
      <w:r w:rsidR="00D7765B">
        <w:rPr>
          <w:sz w:val="20"/>
        </w:rPr>
        <w:t xml:space="preserve">příspěvek zahraničního obchodu, </w:t>
      </w:r>
      <w:r w:rsidR="00537656" w:rsidRPr="00B4285D">
        <w:rPr>
          <w:sz w:val="20"/>
        </w:rPr>
        <w:t>tažen</w:t>
      </w:r>
      <w:r w:rsidR="00D7765B">
        <w:rPr>
          <w:sz w:val="20"/>
        </w:rPr>
        <w:t>ý</w:t>
      </w:r>
      <w:r w:rsidR="00537656" w:rsidRPr="00B4285D">
        <w:rPr>
          <w:sz w:val="20"/>
        </w:rPr>
        <w:t xml:space="preserve"> především </w:t>
      </w:r>
      <w:r w:rsidR="00D7765B">
        <w:rPr>
          <w:sz w:val="20"/>
        </w:rPr>
        <w:t xml:space="preserve">rostoucím vývozem do </w:t>
      </w:r>
      <w:r w:rsidR="00537656" w:rsidRPr="00B4285D">
        <w:rPr>
          <w:sz w:val="20"/>
        </w:rPr>
        <w:t>Německ</w:t>
      </w:r>
      <w:r w:rsidR="00D7765B">
        <w:rPr>
          <w:sz w:val="20"/>
        </w:rPr>
        <w:t>a, přičemž</w:t>
      </w:r>
      <w:r w:rsidR="00537656" w:rsidRPr="00B4285D">
        <w:rPr>
          <w:sz w:val="20"/>
        </w:rPr>
        <w:t xml:space="preserve"> dovoz</w:t>
      </w:r>
      <w:r w:rsidR="00224284">
        <w:rPr>
          <w:sz w:val="20"/>
        </w:rPr>
        <w:t xml:space="preserve"> pro </w:t>
      </w:r>
      <w:r w:rsidR="00D7765B">
        <w:rPr>
          <w:sz w:val="20"/>
        </w:rPr>
        <w:t xml:space="preserve">českou </w:t>
      </w:r>
      <w:r w:rsidR="00224284">
        <w:rPr>
          <w:sz w:val="20"/>
        </w:rPr>
        <w:t>domácí spotřebu</w:t>
      </w:r>
      <w:r w:rsidR="00D7765B">
        <w:rPr>
          <w:sz w:val="20"/>
        </w:rPr>
        <w:t xml:space="preserve"> naopak klesl</w:t>
      </w:r>
      <w:r w:rsidR="00224284">
        <w:rPr>
          <w:sz w:val="20"/>
        </w:rPr>
        <w:t>. Naopak</w:t>
      </w:r>
      <w:r w:rsidR="00004B58" w:rsidRPr="00B4285D">
        <w:rPr>
          <w:sz w:val="20"/>
        </w:rPr>
        <w:t xml:space="preserve"> opačným směrem působil propad investiční aktivity firem a spotřeby domácností.</w:t>
      </w:r>
    </w:p>
    <w:p w14:paraId="692D9EC1" w14:textId="77777777" w:rsidR="003123D0" w:rsidRDefault="003123D0" w:rsidP="00B4285D">
      <w:pPr>
        <w:rPr>
          <w:b/>
          <w:color w:val="007E79"/>
          <w:sz w:val="20"/>
        </w:rPr>
      </w:pPr>
      <w:r w:rsidRPr="00C15C17">
        <w:rPr>
          <w:noProof/>
          <w:sz w:val="20"/>
        </w:rPr>
        <mc:AlternateContent>
          <mc:Choice Requires="wps">
            <w:drawing>
              <wp:anchor distT="45720" distB="45720" distL="114300" distR="114300" simplePos="0" relativeHeight="251657216" behindDoc="0" locked="0" layoutInCell="1" allowOverlap="1" wp14:anchorId="66EA2340" wp14:editId="191AC84B">
                <wp:simplePos x="0" y="0"/>
                <wp:positionH relativeFrom="column">
                  <wp:posOffset>2540</wp:posOffset>
                </wp:positionH>
                <wp:positionV relativeFrom="paragraph">
                  <wp:posOffset>148590</wp:posOffset>
                </wp:positionV>
                <wp:extent cx="6457950" cy="847725"/>
                <wp:effectExtent l="0" t="0" r="19050" b="28575"/>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847725"/>
                        </a:xfrm>
                        <a:prstGeom prst="rect">
                          <a:avLst/>
                        </a:prstGeom>
                        <a:solidFill>
                          <a:srgbClr val="FFFFFF"/>
                        </a:solidFill>
                        <a:ln w="9525">
                          <a:solidFill>
                            <a:srgbClr val="000000"/>
                          </a:solidFill>
                          <a:miter lim="800000"/>
                          <a:headEnd/>
                          <a:tailEnd/>
                        </a:ln>
                      </wps:spPr>
                      <wps:txbx>
                        <w:txbxContent>
                          <w:p w14:paraId="30B9C915" w14:textId="0A577910" w:rsidR="003123D0" w:rsidRPr="00B4285D" w:rsidRDefault="003123D0" w:rsidP="003123D0">
                            <w:pPr>
                              <w:rPr>
                                <w:sz w:val="20"/>
                              </w:rPr>
                            </w:pPr>
                            <w:r>
                              <w:rPr>
                                <w:b/>
                                <w:bCs/>
                                <w:sz w:val="20"/>
                              </w:rPr>
                              <w:t>Miroslav Zámečník</w:t>
                            </w:r>
                            <w:r w:rsidRPr="00C15C17">
                              <w:rPr>
                                <w:sz w:val="20"/>
                              </w:rPr>
                              <w:t xml:space="preserve">, ekonomický analytik </w:t>
                            </w:r>
                            <w:r>
                              <w:rPr>
                                <w:sz w:val="20"/>
                              </w:rPr>
                              <w:t>České bankovní asociace:</w:t>
                            </w:r>
                          </w:p>
                          <w:p w14:paraId="2F156369" w14:textId="1E0BD0D4" w:rsidR="003123D0" w:rsidRDefault="003123D0" w:rsidP="003123D0">
                            <w:r w:rsidRPr="003123D0">
                              <w:rPr>
                                <w:i/>
                                <w:iCs/>
                                <w:sz w:val="20"/>
                              </w:rPr>
                              <w:t>„Český průmysl i export v posledních měsících loňského roku táhl nárůst objednávek z Německa, který byl sám pod vlivem oživení zahraniční poptávky po německém zboží (s českou vložkou). Kupříkladu německý export do USA v prosinci stoupnul meziročně o 8,4</w:t>
                            </w:r>
                            <w:r>
                              <w:rPr>
                                <w:i/>
                                <w:iCs/>
                                <w:sz w:val="20"/>
                              </w:rPr>
                              <w:t xml:space="preserve"> </w:t>
                            </w:r>
                            <w:r w:rsidRPr="003123D0">
                              <w:rPr>
                                <w:i/>
                                <w:iCs/>
                                <w:sz w:val="20"/>
                              </w:rPr>
                              <w:t>% a do Číny o 11,6</w:t>
                            </w:r>
                            <w:r>
                              <w:rPr>
                                <w:i/>
                                <w:iCs/>
                                <w:sz w:val="20"/>
                              </w:rPr>
                              <w:t xml:space="preserve"> </w:t>
                            </w:r>
                            <w:r w:rsidRPr="003123D0">
                              <w:rPr>
                                <w:i/>
                                <w:iCs/>
                                <w:sz w:val="20"/>
                              </w:rPr>
                              <w:t>%. Opět se tak potvrdila těsná česká vazba v rámci německého dodavatelského řetězce, jehož prostřednictvím proudí i na zámořské trhy</w:t>
                            </w:r>
                            <w:r w:rsidR="00401262">
                              <w:rPr>
                                <w:i/>
                                <w:iCs/>
                                <w:sz w:val="20"/>
                              </w:rPr>
                              <w:t>.</w:t>
                            </w:r>
                            <w:r w:rsidRPr="003123D0">
                              <w:rPr>
                                <w:i/>
                                <w:iCs/>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A2340" id="_x0000_s1027" type="#_x0000_t202" style="position:absolute;left:0;text-align:left;margin-left:.2pt;margin-top:11.7pt;width:508.5pt;height:66.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">
                <v:textbox>
                  <w:txbxContent>
                    <w:p w14:paraId="30B9C915" w14:textId="0A577910" w:rsidR="003123D0" w:rsidRPr="00B4285D" w:rsidRDefault="003123D0" w:rsidP="003123D0">
                      <w:pPr>
                        <w:rPr>
                          <w:sz w:val="20"/>
                        </w:rPr>
                      </w:pPr>
                      <w:r>
                        <w:rPr>
                          <w:b/>
                          <w:bCs/>
                          <w:sz w:val="20"/>
                        </w:rPr>
                        <w:t>Miroslav Zámečník</w:t>
                      </w:r>
                      <w:r w:rsidRPr="00C15C17">
                        <w:rPr>
                          <w:sz w:val="20"/>
                        </w:rPr>
                        <w:t xml:space="preserve">, ekonomický analytik </w:t>
                      </w:r>
                      <w:r>
                        <w:rPr>
                          <w:sz w:val="20"/>
                        </w:rPr>
                        <w:t>České bankovní asociace:</w:t>
                      </w:r>
                    </w:p>
                    <w:p w14:paraId="2F156369" w14:textId="1E0BD0D4" w:rsidR="003123D0" w:rsidRDefault="003123D0" w:rsidP="003123D0">
                      <w:r w:rsidRPr="003123D0">
                        <w:rPr>
                          <w:i/>
                          <w:iCs/>
                          <w:sz w:val="20"/>
                        </w:rPr>
                        <w:t>„Český průmysl i export v posledních měsících loňského roku táhl nárůst objednávek z Německa, který byl sám pod vlivem oživení zahraniční poptávky po německém zboží (s českou vložkou). Kupříkladu německý export do USA v prosinci stoupnul meziročně o 8,4</w:t>
                      </w:r>
                      <w:r>
                        <w:rPr>
                          <w:i/>
                          <w:iCs/>
                          <w:sz w:val="20"/>
                        </w:rPr>
                        <w:t xml:space="preserve"> </w:t>
                      </w:r>
                      <w:r w:rsidRPr="003123D0">
                        <w:rPr>
                          <w:i/>
                          <w:iCs/>
                          <w:sz w:val="20"/>
                        </w:rPr>
                        <w:t>% a do Číny o 11,6</w:t>
                      </w:r>
                      <w:r>
                        <w:rPr>
                          <w:i/>
                          <w:iCs/>
                          <w:sz w:val="20"/>
                        </w:rPr>
                        <w:t xml:space="preserve"> </w:t>
                      </w:r>
                      <w:r w:rsidRPr="003123D0">
                        <w:rPr>
                          <w:i/>
                          <w:iCs/>
                          <w:sz w:val="20"/>
                        </w:rPr>
                        <w:t>%. Opět se tak potvrdila těsná česká vazba v rámci německého dodavatelského řetězce, jehož prostřednictvím proudí i na zámořské trhy</w:t>
                      </w:r>
                      <w:r w:rsidR="00401262">
                        <w:rPr>
                          <w:i/>
                          <w:iCs/>
                          <w:sz w:val="20"/>
                        </w:rPr>
                        <w:t>.</w:t>
                      </w:r>
                      <w:r w:rsidRPr="003123D0">
                        <w:rPr>
                          <w:i/>
                          <w:iCs/>
                          <w:sz w:val="20"/>
                        </w:rPr>
                        <w:t>“</w:t>
                      </w:r>
                    </w:p>
                  </w:txbxContent>
                </v:textbox>
                <w10:wrap type="square"/>
              </v:shape>
            </w:pict>
          </mc:Fallback>
        </mc:AlternateContent>
      </w:r>
    </w:p>
    <w:p w14:paraId="3D5DA6B2" w14:textId="47DFA0EE" w:rsidR="00F32F3A" w:rsidRPr="00B4285D" w:rsidRDefault="00A2430B" w:rsidP="00B4285D">
      <w:pPr>
        <w:rPr>
          <w:b/>
          <w:color w:val="007E79"/>
          <w:sz w:val="20"/>
        </w:rPr>
      </w:pPr>
      <w:r w:rsidRPr="00725295">
        <w:rPr>
          <w:b/>
          <w:color w:val="007E79"/>
          <w:sz w:val="20"/>
        </w:rPr>
        <w:t xml:space="preserve">Vliv </w:t>
      </w:r>
      <w:r w:rsidR="005C60BB" w:rsidRPr="00725295">
        <w:rPr>
          <w:b/>
          <w:color w:val="007E79"/>
          <w:sz w:val="20"/>
        </w:rPr>
        <w:t xml:space="preserve">hospodářského </w:t>
      </w:r>
      <w:r w:rsidR="00EA6FE9" w:rsidRPr="00B4285D">
        <w:rPr>
          <w:b/>
          <w:color w:val="007E79"/>
          <w:sz w:val="20"/>
        </w:rPr>
        <w:t xml:space="preserve">vývoje </w:t>
      </w:r>
      <w:r w:rsidR="005C60BB" w:rsidRPr="00B4285D">
        <w:rPr>
          <w:b/>
          <w:color w:val="007E79"/>
          <w:sz w:val="20"/>
        </w:rPr>
        <w:t xml:space="preserve">ve světě </w:t>
      </w:r>
      <w:r w:rsidRPr="00B4285D">
        <w:rPr>
          <w:b/>
          <w:color w:val="007E79"/>
          <w:sz w:val="20"/>
        </w:rPr>
        <w:t>na</w:t>
      </w:r>
      <w:r w:rsidR="004D7651" w:rsidRPr="00B4285D">
        <w:rPr>
          <w:b/>
          <w:color w:val="007E79"/>
          <w:sz w:val="20"/>
        </w:rPr>
        <w:t xml:space="preserve"> české </w:t>
      </w:r>
      <w:r w:rsidR="00F32F3A" w:rsidRPr="00B4285D">
        <w:rPr>
          <w:b/>
          <w:color w:val="007E79"/>
          <w:sz w:val="20"/>
        </w:rPr>
        <w:t>hospodářství</w:t>
      </w:r>
    </w:p>
    <w:p w14:paraId="115A46B9" w14:textId="1BEB238E" w:rsidR="008D1230" w:rsidRPr="00B4285D" w:rsidRDefault="00CF04CA" w:rsidP="00B4285D">
      <w:pPr>
        <w:rPr>
          <w:sz w:val="20"/>
        </w:rPr>
      </w:pPr>
      <w:r w:rsidRPr="00B4285D">
        <w:rPr>
          <w:sz w:val="20"/>
        </w:rPr>
        <w:t>Mezinárodní měnový fond</w:t>
      </w:r>
      <w:r w:rsidR="004D7651" w:rsidRPr="00B4285D">
        <w:rPr>
          <w:sz w:val="20"/>
        </w:rPr>
        <w:t xml:space="preserve"> </w:t>
      </w:r>
      <w:r w:rsidR="00D7765B">
        <w:rPr>
          <w:sz w:val="20"/>
        </w:rPr>
        <w:t xml:space="preserve">(MMF) </w:t>
      </w:r>
      <w:r w:rsidR="004D7651" w:rsidRPr="00B4285D">
        <w:rPr>
          <w:sz w:val="20"/>
        </w:rPr>
        <w:t>letos</w:t>
      </w:r>
      <w:r w:rsidR="00BF73F4" w:rsidRPr="00B4285D">
        <w:rPr>
          <w:sz w:val="20"/>
        </w:rPr>
        <w:t xml:space="preserve"> </w:t>
      </w:r>
      <w:r w:rsidR="0080505A" w:rsidRPr="00B4285D">
        <w:rPr>
          <w:sz w:val="20"/>
        </w:rPr>
        <w:t>v</w:t>
      </w:r>
      <w:r w:rsidR="00D242FD" w:rsidRPr="00B4285D">
        <w:rPr>
          <w:sz w:val="20"/>
        </w:rPr>
        <w:t xml:space="preserve"> lednu </w:t>
      </w:r>
      <w:r w:rsidR="00224284">
        <w:rPr>
          <w:sz w:val="20"/>
        </w:rPr>
        <w:t>snížil</w:t>
      </w:r>
      <w:r w:rsidR="0080505A" w:rsidRPr="00B4285D">
        <w:rPr>
          <w:sz w:val="20"/>
        </w:rPr>
        <w:t xml:space="preserve"> </w:t>
      </w:r>
      <w:r w:rsidR="004D7651" w:rsidRPr="00B4285D">
        <w:rPr>
          <w:sz w:val="20"/>
        </w:rPr>
        <w:t xml:space="preserve">říjnový </w:t>
      </w:r>
      <w:r w:rsidR="00BF73F4" w:rsidRPr="00B4285D">
        <w:rPr>
          <w:sz w:val="20"/>
        </w:rPr>
        <w:t>odhad</w:t>
      </w:r>
      <w:r w:rsidR="0080505A" w:rsidRPr="00B4285D">
        <w:rPr>
          <w:sz w:val="20"/>
        </w:rPr>
        <w:t xml:space="preserve"> </w:t>
      </w:r>
      <w:r w:rsidR="00BF73F4" w:rsidRPr="00B4285D">
        <w:rPr>
          <w:sz w:val="20"/>
        </w:rPr>
        <w:t>l</w:t>
      </w:r>
      <w:r w:rsidR="00D242FD" w:rsidRPr="00B4285D">
        <w:rPr>
          <w:sz w:val="20"/>
        </w:rPr>
        <w:t>oňské</w:t>
      </w:r>
      <w:r w:rsidR="00BF73F4" w:rsidRPr="00B4285D">
        <w:rPr>
          <w:sz w:val="20"/>
        </w:rPr>
        <w:t xml:space="preserve"> ztrát</w:t>
      </w:r>
      <w:r w:rsidR="0080505A" w:rsidRPr="00B4285D">
        <w:rPr>
          <w:sz w:val="20"/>
        </w:rPr>
        <w:t>y</w:t>
      </w:r>
      <w:r w:rsidRPr="00B4285D">
        <w:rPr>
          <w:sz w:val="20"/>
        </w:rPr>
        <w:t xml:space="preserve"> globálního výkonu </w:t>
      </w:r>
      <w:r w:rsidR="0080505A" w:rsidRPr="00B4285D">
        <w:rPr>
          <w:sz w:val="20"/>
        </w:rPr>
        <w:t xml:space="preserve">o </w:t>
      </w:r>
      <w:r w:rsidR="00D242FD" w:rsidRPr="00B4285D">
        <w:rPr>
          <w:sz w:val="20"/>
        </w:rPr>
        <w:t>celý</w:t>
      </w:r>
      <w:r w:rsidR="0080505A" w:rsidRPr="00B4285D">
        <w:rPr>
          <w:sz w:val="20"/>
        </w:rPr>
        <w:t xml:space="preserve"> procentní bod </w:t>
      </w:r>
      <w:r w:rsidR="00BF73F4" w:rsidRPr="00B4285D">
        <w:rPr>
          <w:sz w:val="20"/>
        </w:rPr>
        <w:t xml:space="preserve">na </w:t>
      </w:r>
      <w:r w:rsidR="00D242FD" w:rsidRPr="00B4285D">
        <w:rPr>
          <w:sz w:val="20"/>
        </w:rPr>
        <w:t>– 3,5</w:t>
      </w:r>
      <w:r w:rsidR="00BF73F4" w:rsidRPr="00B4285D">
        <w:rPr>
          <w:sz w:val="20"/>
        </w:rPr>
        <w:t xml:space="preserve"> % světového HDP. </w:t>
      </w:r>
      <w:r w:rsidR="008D1230" w:rsidRPr="00B4285D">
        <w:rPr>
          <w:sz w:val="20"/>
        </w:rPr>
        <w:t xml:space="preserve">Pro rok 2021 pak MMF očekává růst světové ekonomiky </w:t>
      </w:r>
      <w:r w:rsidR="00224284">
        <w:rPr>
          <w:sz w:val="20"/>
        </w:rPr>
        <w:t xml:space="preserve">o </w:t>
      </w:r>
      <w:r w:rsidR="00224284" w:rsidRPr="00B4285D">
        <w:rPr>
          <w:sz w:val="20"/>
        </w:rPr>
        <w:t>5,5</w:t>
      </w:r>
      <w:r w:rsidR="005C3C3C">
        <w:rPr>
          <w:sz w:val="20"/>
        </w:rPr>
        <w:t xml:space="preserve"> </w:t>
      </w:r>
      <w:r w:rsidR="00224284" w:rsidRPr="00B4285D">
        <w:rPr>
          <w:sz w:val="20"/>
        </w:rPr>
        <w:t xml:space="preserve">% </w:t>
      </w:r>
      <w:r w:rsidR="008D1230" w:rsidRPr="00B4285D">
        <w:rPr>
          <w:sz w:val="20"/>
        </w:rPr>
        <w:t>a pro rok 2022 zmírnění tempa na 4,2</w:t>
      </w:r>
      <w:r w:rsidR="005C3C3C">
        <w:rPr>
          <w:sz w:val="20"/>
        </w:rPr>
        <w:t xml:space="preserve"> </w:t>
      </w:r>
      <w:r w:rsidR="008D1230" w:rsidRPr="00B4285D">
        <w:rPr>
          <w:sz w:val="20"/>
        </w:rPr>
        <w:t xml:space="preserve">%. Za relativním optimismem analytiků MMF </w:t>
      </w:r>
      <w:r w:rsidR="004D7651" w:rsidRPr="00B4285D">
        <w:rPr>
          <w:sz w:val="20"/>
        </w:rPr>
        <w:t>stojí</w:t>
      </w:r>
      <w:r w:rsidR="008D1230" w:rsidRPr="00B4285D">
        <w:rPr>
          <w:sz w:val="20"/>
        </w:rPr>
        <w:t xml:space="preserve"> začátek vakcinace a pozitivní očekávání s ní spojená</w:t>
      </w:r>
      <w:r w:rsidR="004D7651" w:rsidRPr="00B4285D">
        <w:rPr>
          <w:sz w:val="20"/>
        </w:rPr>
        <w:t>. R</w:t>
      </w:r>
      <w:r w:rsidR="008D1230" w:rsidRPr="00B4285D">
        <w:rPr>
          <w:sz w:val="20"/>
        </w:rPr>
        <w:t xml:space="preserve">izikem </w:t>
      </w:r>
      <w:r w:rsidR="006146A8" w:rsidRPr="00B4285D">
        <w:rPr>
          <w:sz w:val="20"/>
        </w:rPr>
        <w:t>možného poklesu</w:t>
      </w:r>
      <w:r w:rsidR="008D1230" w:rsidRPr="00B4285D">
        <w:rPr>
          <w:sz w:val="20"/>
        </w:rPr>
        <w:t xml:space="preserve"> je naopak zimní zhoršení epidemické situace provázené šířením nakažlivějších mutací nebezpečného viru. </w:t>
      </w:r>
    </w:p>
    <w:p w14:paraId="002ACE0F" w14:textId="052FBA8B" w:rsidR="008D1230" w:rsidRPr="00B4285D" w:rsidRDefault="008D1230" w:rsidP="00B4285D">
      <w:pPr>
        <w:rPr>
          <w:sz w:val="20"/>
        </w:rPr>
      </w:pPr>
    </w:p>
    <w:p w14:paraId="1314169B" w14:textId="3D60E557" w:rsidR="008D1230" w:rsidRPr="00B4285D" w:rsidRDefault="00D7765B" w:rsidP="00B4285D">
      <w:pPr>
        <w:rPr>
          <w:sz w:val="20"/>
        </w:rPr>
      </w:pPr>
      <w:r>
        <w:rPr>
          <w:sz w:val="20"/>
        </w:rPr>
        <w:t>Dynamika o</w:t>
      </w:r>
      <w:r w:rsidR="008D1230" w:rsidRPr="00B4285D">
        <w:rPr>
          <w:sz w:val="20"/>
        </w:rPr>
        <w:t xml:space="preserve">živení se </w:t>
      </w:r>
      <w:r w:rsidR="009D150F" w:rsidRPr="00B4285D">
        <w:rPr>
          <w:sz w:val="20"/>
        </w:rPr>
        <w:t xml:space="preserve">podle MMF bude </w:t>
      </w:r>
      <w:r w:rsidR="008D1230" w:rsidRPr="00B4285D">
        <w:rPr>
          <w:sz w:val="20"/>
        </w:rPr>
        <w:t>v jednotlivých zemích lišit v závislosti na přístupu k</w:t>
      </w:r>
      <w:r w:rsidR="00CF6D15" w:rsidRPr="00B4285D">
        <w:rPr>
          <w:sz w:val="20"/>
        </w:rPr>
        <w:t> </w:t>
      </w:r>
      <w:r w:rsidR="008D1230" w:rsidRPr="00B4285D">
        <w:rPr>
          <w:sz w:val="20"/>
        </w:rPr>
        <w:t>lékařsk</w:t>
      </w:r>
      <w:r w:rsidR="00CF6D15" w:rsidRPr="00B4285D">
        <w:rPr>
          <w:sz w:val="20"/>
        </w:rPr>
        <w:t>é péči</w:t>
      </w:r>
      <w:r w:rsidR="008D1230" w:rsidRPr="00B4285D">
        <w:rPr>
          <w:sz w:val="20"/>
        </w:rPr>
        <w:t xml:space="preserve">, účinnosti </w:t>
      </w:r>
      <w:r w:rsidR="00CF6D15" w:rsidRPr="00B4285D">
        <w:rPr>
          <w:sz w:val="20"/>
        </w:rPr>
        <w:t>vládních zásahů</w:t>
      </w:r>
      <w:r w:rsidR="008D1230" w:rsidRPr="00B4285D">
        <w:rPr>
          <w:sz w:val="20"/>
        </w:rPr>
        <w:t xml:space="preserve">, </w:t>
      </w:r>
      <w:r w:rsidR="00CF6D15" w:rsidRPr="00B4285D">
        <w:rPr>
          <w:sz w:val="20"/>
        </w:rPr>
        <w:t xml:space="preserve">expozici vůči přeshraniční nákaze </w:t>
      </w:r>
      <w:r w:rsidR="008D1230" w:rsidRPr="00B4285D">
        <w:rPr>
          <w:sz w:val="20"/>
        </w:rPr>
        <w:t>a</w:t>
      </w:r>
      <w:r w:rsidR="00CF6D15" w:rsidRPr="00B4285D">
        <w:rPr>
          <w:sz w:val="20"/>
        </w:rPr>
        <w:t xml:space="preserve"> na</w:t>
      </w:r>
      <w:r w:rsidR="008D1230" w:rsidRPr="00B4285D">
        <w:rPr>
          <w:sz w:val="20"/>
        </w:rPr>
        <w:t xml:space="preserve"> strukturálních charakteristikách </w:t>
      </w:r>
      <w:r w:rsidR="00CF6D15" w:rsidRPr="00B4285D">
        <w:rPr>
          <w:sz w:val="20"/>
        </w:rPr>
        <w:t xml:space="preserve">dané země při </w:t>
      </w:r>
      <w:r w:rsidR="008D1230" w:rsidRPr="00B4285D">
        <w:rPr>
          <w:sz w:val="20"/>
        </w:rPr>
        <w:t>vstupu do krize</w:t>
      </w:r>
      <w:r w:rsidR="00CF6D15" w:rsidRPr="00B4285D">
        <w:rPr>
          <w:sz w:val="20"/>
        </w:rPr>
        <w:t>. Pokles výkonu vyspělých ekonom</w:t>
      </w:r>
      <w:r w:rsidR="00B64423" w:rsidRPr="00B4285D">
        <w:rPr>
          <w:sz w:val="20"/>
        </w:rPr>
        <w:t>ik, mezi něž patří i ČR, očekával</w:t>
      </w:r>
      <w:r w:rsidR="00CF6D15" w:rsidRPr="00B4285D">
        <w:rPr>
          <w:sz w:val="20"/>
        </w:rPr>
        <w:t xml:space="preserve"> Fond pro rok 2020 pod globálním průměrem (- 4,9 %), a rovněž tak i jejich návrat k růstu (4,3 % v roce 2021 a pouze 3,1 % o rok později). „Emerging markets“ a rozvojové země naopak porostou dynamičtěji. Po poklesu o „pouhých“ 2,2 % v roce 2022 se podle MMF mohou těšit na průměrný růst 6,3 % letos a 5 % napřesrok. </w:t>
      </w:r>
    </w:p>
    <w:p w14:paraId="7C3BB167" w14:textId="77777777" w:rsidR="008D1230" w:rsidRPr="00B4285D" w:rsidRDefault="008D1230" w:rsidP="00B4285D">
      <w:pPr>
        <w:rPr>
          <w:sz w:val="20"/>
        </w:rPr>
      </w:pPr>
    </w:p>
    <w:p w14:paraId="3219C21A" w14:textId="17F2A5DE" w:rsidR="00F93181" w:rsidRDefault="00224284" w:rsidP="00B4285D">
      <w:pPr>
        <w:pStyle w:val="Textkomente"/>
      </w:pPr>
      <w:r>
        <w:t>Vítě</w:t>
      </w:r>
      <w:r w:rsidR="001B44EF" w:rsidRPr="00725295">
        <w:t>zem v mezinárodním srovnání zůstává Čína</w:t>
      </w:r>
      <w:r>
        <w:t>, která</w:t>
      </w:r>
      <w:r w:rsidR="001B44EF" w:rsidRPr="00B4285D">
        <w:t xml:space="preserve"> podle MMF jako jediná</w:t>
      </w:r>
      <w:r w:rsidR="00C1402D">
        <w:t xml:space="preserve"> z</w:t>
      </w:r>
      <w:r w:rsidR="001B44EF" w:rsidRPr="00B4285D">
        <w:t xml:space="preserve"> </w:t>
      </w:r>
      <w:r>
        <w:t>velkých ekonomik loni rostla</w:t>
      </w:r>
      <w:r w:rsidR="00D7765B">
        <w:t xml:space="preserve"> </w:t>
      </w:r>
      <w:r w:rsidR="00C1402D">
        <w:br/>
      </w:r>
      <w:r w:rsidR="00D7765B">
        <w:t>(</w:t>
      </w:r>
      <w:r w:rsidR="009D150F" w:rsidRPr="00B4285D">
        <w:t xml:space="preserve">o </w:t>
      </w:r>
      <w:r w:rsidR="001B44EF" w:rsidRPr="00B4285D">
        <w:t>2,3</w:t>
      </w:r>
      <w:r>
        <w:t xml:space="preserve"> %</w:t>
      </w:r>
      <w:r w:rsidR="00D7765B">
        <w:t>)</w:t>
      </w:r>
      <w:r>
        <w:t>, letos zrychlí na</w:t>
      </w:r>
      <w:r w:rsidR="001B44EF" w:rsidRPr="00B4285D">
        <w:t xml:space="preserve"> 8,1</w:t>
      </w:r>
      <w:r w:rsidR="00D7765B">
        <w:t xml:space="preserve"> </w:t>
      </w:r>
      <w:r>
        <w:t>%, napřesrok by měl HDP stoupnout o</w:t>
      </w:r>
      <w:r w:rsidR="00D7765B">
        <w:t xml:space="preserve"> </w:t>
      </w:r>
      <w:r w:rsidR="001B44EF" w:rsidRPr="00B4285D">
        <w:t>5,6</w:t>
      </w:r>
      <w:r w:rsidR="00D7765B">
        <w:t xml:space="preserve"> </w:t>
      </w:r>
      <w:r w:rsidR="001B44EF" w:rsidRPr="00B4285D">
        <w:t>%</w:t>
      </w:r>
      <w:r w:rsidR="001B44EF" w:rsidRPr="00725295">
        <w:t xml:space="preserve">. </w:t>
      </w:r>
      <w:r w:rsidR="009D150F" w:rsidRPr="00B4285D">
        <w:t>To je</w:t>
      </w:r>
      <w:r w:rsidR="001B44EF" w:rsidRPr="00B4285D">
        <w:t xml:space="preserve"> dobrá zpráva nejen pro exportně orientované Německo</w:t>
      </w:r>
      <w:r w:rsidR="00F93181">
        <w:t>, které</w:t>
      </w:r>
      <w:r w:rsidR="009D150F" w:rsidRPr="00B4285D">
        <w:t xml:space="preserve"> by se mělo</w:t>
      </w:r>
      <w:r w:rsidR="006146A8" w:rsidRPr="00B4285D">
        <w:t>,</w:t>
      </w:r>
      <w:r w:rsidR="009D150F" w:rsidRPr="00B4285D">
        <w:t xml:space="preserve"> po loňském poklesu o 5,4 </w:t>
      </w:r>
      <w:r w:rsidR="006146A8" w:rsidRPr="00B4285D">
        <w:t>%, vrátit k</w:t>
      </w:r>
      <w:r>
        <w:t> </w:t>
      </w:r>
      <w:r w:rsidR="006146A8" w:rsidRPr="00B4285D">
        <w:t>růstu</w:t>
      </w:r>
      <w:r>
        <w:t xml:space="preserve"> o </w:t>
      </w:r>
      <w:r w:rsidRPr="00B4285D">
        <w:t>3,1 %</w:t>
      </w:r>
      <w:r>
        <w:t>, a stejným tempem pokračovat</w:t>
      </w:r>
      <w:r w:rsidR="006146A8" w:rsidRPr="00B4285D">
        <w:t xml:space="preserve"> i </w:t>
      </w:r>
      <w:r>
        <w:t xml:space="preserve">v příštím roce. Zprostředkovaně se </w:t>
      </w:r>
      <w:r w:rsidR="00D7765B">
        <w:t xml:space="preserve">totiž </w:t>
      </w:r>
      <w:r>
        <w:t>německá poptávka promítne i u</w:t>
      </w:r>
      <w:r w:rsidR="00F97C75" w:rsidRPr="00B4285D">
        <w:t xml:space="preserve"> nás. </w:t>
      </w:r>
      <w:r w:rsidR="001B44EF" w:rsidRPr="00B4285D">
        <w:t xml:space="preserve">Hospodářství eurozóny jako celku </w:t>
      </w:r>
      <w:r w:rsidR="00F97C75" w:rsidRPr="00B4285D">
        <w:t>loni dle</w:t>
      </w:r>
      <w:r w:rsidR="00F93181">
        <w:t xml:space="preserve"> Eurostatu kleslo </w:t>
      </w:r>
      <w:r w:rsidR="00F97C75" w:rsidRPr="00B4285D">
        <w:t xml:space="preserve">o </w:t>
      </w:r>
      <w:r w:rsidR="00F93181">
        <w:t>6,8</w:t>
      </w:r>
      <w:r w:rsidR="00F97C75" w:rsidRPr="00B4285D">
        <w:t xml:space="preserve"> %, letos </w:t>
      </w:r>
      <w:r w:rsidR="00F93181">
        <w:t>by dle MMF mělo růst</w:t>
      </w:r>
      <w:r w:rsidR="00F97C75" w:rsidRPr="00B4285D">
        <w:t xml:space="preserve"> o 4,2 % a o 3,6 % v roce příštím.</w:t>
      </w:r>
      <w:r w:rsidR="001B44EF" w:rsidRPr="00B4285D">
        <w:t xml:space="preserve"> </w:t>
      </w:r>
    </w:p>
    <w:p w14:paraId="060E6AC8" w14:textId="77777777" w:rsidR="00F93181" w:rsidRDefault="00F93181" w:rsidP="00B4285D">
      <w:pPr>
        <w:pStyle w:val="Textkomente"/>
      </w:pPr>
    </w:p>
    <w:p w14:paraId="1C3C24B8" w14:textId="460DF4E3" w:rsidR="001B44EF" w:rsidRPr="00B4285D" w:rsidRDefault="00D9338E" w:rsidP="00B4285D">
      <w:pPr>
        <w:pStyle w:val="Textkomente"/>
      </w:pPr>
      <w:r>
        <w:t>Díky</w:t>
      </w:r>
      <w:r w:rsidR="00F97C75" w:rsidRPr="00B4285D">
        <w:t xml:space="preserve"> pružnější ekonomi</w:t>
      </w:r>
      <w:r>
        <w:t>ce</w:t>
      </w:r>
      <w:r w:rsidR="00F97C75" w:rsidRPr="00B4285D">
        <w:t xml:space="preserve"> </w:t>
      </w:r>
      <w:r w:rsidR="00F93181">
        <w:t xml:space="preserve">a masivnímu fiskálnímu stimulu </w:t>
      </w:r>
      <w:r w:rsidR="00F97C75" w:rsidRPr="00B4285D">
        <w:t xml:space="preserve">USA </w:t>
      </w:r>
      <w:r>
        <w:t xml:space="preserve">zaznamenaly </w:t>
      </w:r>
      <w:r w:rsidR="00D7765B">
        <w:t xml:space="preserve">oproti EU </w:t>
      </w:r>
      <w:r>
        <w:t>nižší pokl</w:t>
      </w:r>
      <w:r w:rsidR="00F97C75" w:rsidRPr="00B4285D">
        <w:t xml:space="preserve">es </w:t>
      </w:r>
      <w:r w:rsidR="00D7765B">
        <w:t>(</w:t>
      </w:r>
      <w:r>
        <w:t xml:space="preserve">o </w:t>
      </w:r>
      <w:r w:rsidR="00F97C75" w:rsidRPr="00B4285D">
        <w:t>3,4 %</w:t>
      </w:r>
      <w:r w:rsidR="00D7765B">
        <w:t>)</w:t>
      </w:r>
      <w:r w:rsidR="00F97C75" w:rsidRPr="00B4285D">
        <w:t xml:space="preserve"> a </w:t>
      </w:r>
      <w:r>
        <w:t>letos rychleji porostou</w:t>
      </w:r>
      <w:r w:rsidR="00F93181">
        <w:t xml:space="preserve"> – </w:t>
      </w:r>
      <w:r w:rsidR="00F97C75" w:rsidRPr="00B4285D">
        <w:t xml:space="preserve">o 5,1 %. Pro rok 2022 však MMF předvídá severoamerické ekonomice </w:t>
      </w:r>
      <w:r>
        <w:t>zpomalení na 2,5</w:t>
      </w:r>
      <w:r w:rsidR="00D7765B">
        <w:t xml:space="preserve"> </w:t>
      </w:r>
      <w:r>
        <w:t>%</w:t>
      </w:r>
      <w:r w:rsidR="00F97C75" w:rsidRPr="00B4285D">
        <w:t>.</w:t>
      </w:r>
    </w:p>
    <w:p w14:paraId="640FA93F" w14:textId="77777777" w:rsidR="001B44EF" w:rsidRPr="00B4285D" w:rsidRDefault="001B44EF" w:rsidP="00B4285D">
      <w:pPr>
        <w:rPr>
          <w:sz w:val="20"/>
        </w:rPr>
      </w:pPr>
    </w:p>
    <w:p w14:paraId="146E498E" w14:textId="77777777" w:rsidR="00D9338E" w:rsidRDefault="00F464BF" w:rsidP="00B4285D">
      <w:pPr>
        <w:rPr>
          <w:sz w:val="20"/>
        </w:rPr>
      </w:pPr>
      <w:r w:rsidRPr="00B4285D">
        <w:rPr>
          <w:sz w:val="20"/>
        </w:rPr>
        <w:lastRenderedPageBreak/>
        <w:t>N</w:t>
      </w:r>
      <w:r w:rsidR="00AC57E5" w:rsidRPr="00B4285D">
        <w:rPr>
          <w:sz w:val="20"/>
        </w:rPr>
        <w:t>ejistoty kolem základního scénáře dalšího vývoje</w:t>
      </w:r>
      <w:r w:rsidR="009D150F" w:rsidRPr="00B4285D">
        <w:rPr>
          <w:sz w:val="20"/>
        </w:rPr>
        <w:t xml:space="preserve"> globální</w:t>
      </w:r>
      <w:r w:rsidR="00CB3A76" w:rsidRPr="00B4285D">
        <w:rPr>
          <w:sz w:val="20"/>
        </w:rPr>
        <w:t xml:space="preserve"> ekonomiky</w:t>
      </w:r>
      <w:r w:rsidRPr="00B4285D">
        <w:rPr>
          <w:sz w:val="20"/>
        </w:rPr>
        <w:t xml:space="preserve"> jsou</w:t>
      </w:r>
      <w:r w:rsidR="00EA3EEC" w:rsidRPr="00B4285D">
        <w:rPr>
          <w:sz w:val="20"/>
        </w:rPr>
        <w:t xml:space="preserve"> i nadále</w:t>
      </w:r>
      <w:r w:rsidR="00D9338E">
        <w:rPr>
          <w:sz w:val="20"/>
        </w:rPr>
        <w:t xml:space="preserve"> </w:t>
      </w:r>
      <w:r w:rsidR="00AC57E5" w:rsidRPr="00B4285D">
        <w:rPr>
          <w:sz w:val="20"/>
        </w:rPr>
        <w:t>velké</w:t>
      </w:r>
      <w:r w:rsidR="00D9338E">
        <w:rPr>
          <w:sz w:val="20"/>
        </w:rPr>
        <w:t xml:space="preserve"> a točí se kolem tempa a účinnosti vakcinace, jež by se v případě úspěchu promítla i do poptávky</w:t>
      </w:r>
      <w:r w:rsidR="00EA3EEC" w:rsidRPr="00B4285D">
        <w:rPr>
          <w:sz w:val="20"/>
        </w:rPr>
        <w:t xml:space="preserve"> domácností i firem, zaměstnanost</w:t>
      </w:r>
      <w:r w:rsidR="00D9338E">
        <w:rPr>
          <w:sz w:val="20"/>
        </w:rPr>
        <w:t>i</w:t>
      </w:r>
      <w:r w:rsidR="00EA3EEC" w:rsidRPr="00B4285D">
        <w:rPr>
          <w:sz w:val="20"/>
        </w:rPr>
        <w:t xml:space="preserve"> a tím i rychlejší</w:t>
      </w:r>
      <w:r w:rsidR="00D9338E">
        <w:rPr>
          <w:sz w:val="20"/>
        </w:rPr>
        <w:t>ho</w:t>
      </w:r>
      <w:r w:rsidR="00EA3EEC" w:rsidRPr="00B4285D">
        <w:rPr>
          <w:sz w:val="20"/>
        </w:rPr>
        <w:t xml:space="preserve"> oživení.</w:t>
      </w:r>
      <w:r w:rsidR="00910CBA" w:rsidRPr="00B4285D">
        <w:rPr>
          <w:sz w:val="20"/>
        </w:rPr>
        <w:t xml:space="preserve"> </w:t>
      </w:r>
    </w:p>
    <w:p w14:paraId="60A35622" w14:textId="77777777" w:rsidR="00F93181" w:rsidRDefault="00F93181" w:rsidP="00B4285D">
      <w:pPr>
        <w:rPr>
          <w:sz w:val="20"/>
        </w:rPr>
      </w:pPr>
    </w:p>
    <w:p w14:paraId="3F30B435" w14:textId="45AD9B6E" w:rsidR="00AC57E5" w:rsidRPr="00B4285D" w:rsidRDefault="00D9338E" w:rsidP="00B4285D">
      <w:pPr>
        <w:rPr>
          <w:sz w:val="20"/>
        </w:rPr>
      </w:pPr>
      <w:r>
        <w:rPr>
          <w:sz w:val="20"/>
        </w:rPr>
        <w:t>Fiskální podpor</w:t>
      </w:r>
      <w:r w:rsidR="00F93181">
        <w:rPr>
          <w:sz w:val="20"/>
        </w:rPr>
        <w:t>a</w:t>
      </w:r>
      <w:r w:rsidR="00910CBA" w:rsidRPr="00B4285D">
        <w:rPr>
          <w:sz w:val="20"/>
        </w:rPr>
        <w:t xml:space="preserve"> by měla </w:t>
      </w:r>
      <w:r>
        <w:rPr>
          <w:sz w:val="20"/>
        </w:rPr>
        <w:t xml:space="preserve">pokračovat, ale zároveň </w:t>
      </w:r>
      <w:r w:rsidR="00910CBA" w:rsidRPr="00B4285D">
        <w:rPr>
          <w:sz w:val="20"/>
        </w:rPr>
        <w:t xml:space="preserve">brát ohledy na rozdílné zadlužení jednotlivých zemí a jejich schopnost narůstající dluh splácet. </w:t>
      </w:r>
      <w:r w:rsidR="006146A8" w:rsidRPr="00B4285D">
        <w:rPr>
          <w:sz w:val="20"/>
        </w:rPr>
        <w:t>Rizika poklesu jsou vyšší pro ty ekonomik</w:t>
      </w:r>
      <w:r>
        <w:rPr>
          <w:sz w:val="20"/>
        </w:rPr>
        <w:t>y</w:t>
      </w:r>
      <w:r w:rsidR="00910CBA" w:rsidRPr="00B4285D">
        <w:rPr>
          <w:sz w:val="20"/>
        </w:rPr>
        <w:t>, kde krom</w:t>
      </w:r>
      <w:r w:rsidR="009D150F" w:rsidRPr="00B4285D">
        <w:rPr>
          <w:sz w:val="20"/>
        </w:rPr>
        <w:t>ě</w:t>
      </w:r>
      <w:r w:rsidR="00910CBA" w:rsidRPr="00B4285D">
        <w:rPr>
          <w:sz w:val="20"/>
        </w:rPr>
        <w:t xml:space="preserve"> zhoršení situace firem i domácností, nárůstu bankrotů a chudoby musejí </w:t>
      </w:r>
      <w:r w:rsidR="00355435" w:rsidRPr="00B4285D">
        <w:rPr>
          <w:sz w:val="20"/>
        </w:rPr>
        <w:t xml:space="preserve">vlády </w:t>
      </w:r>
      <w:r w:rsidR="00910CBA" w:rsidRPr="00B4285D">
        <w:rPr>
          <w:sz w:val="20"/>
        </w:rPr>
        <w:t>brát zřetel i na stávající předlužení a hrozbu defa</w:t>
      </w:r>
      <w:r w:rsidR="007A7909" w:rsidRPr="00B4285D">
        <w:rPr>
          <w:sz w:val="20"/>
        </w:rPr>
        <w:t>u</w:t>
      </w:r>
      <w:r w:rsidR="00910CBA" w:rsidRPr="00B4285D">
        <w:rPr>
          <w:sz w:val="20"/>
        </w:rPr>
        <w:t>ltu jejich suverénního dluhu.</w:t>
      </w:r>
      <w:r w:rsidR="009A1DCA" w:rsidRPr="00B4285D">
        <w:rPr>
          <w:sz w:val="20"/>
        </w:rPr>
        <w:t xml:space="preserve"> Ze seznamu externích rizik tak na k</w:t>
      </w:r>
      <w:r w:rsidR="003366D7">
        <w:rPr>
          <w:sz w:val="20"/>
        </w:rPr>
        <w:t>onci roku ubyl prakticky jenom B</w:t>
      </w:r>
      <w:r w:rsidR="009A1DCA" w:rsidRPr="00B4285D">
        <w:rPr>
          <w:sz w:val="20"/>
        </w:rPr>
        <w:t>rexit, i když ani o detailech budoucích vztahů mezi Velkou Británií a EU nebude ještě dlouho úplně jasno.</w:t>
      </w:r>
      <w:r w:rsidR="00F93181">
        <w:rPr>
          <w:sz w:val="20"/>
        </w:rPr>
        <w:t xml:space="preserve"> Trhy rovněž na cestě vzhůru povzbudil i výsledek prezidentských voleb</w:t>
      </w:r>
      <w:r w:rsidR="003366D7">
        <w:rPr>
          <w:sz w:val="20"/>
        </w:rPr>
        <w:t xml:space="preserve"> v USA</w:t>
      </w:r>
      <w:r w:rsidR="00F93181">
        <w:rPr>
          <w:sz w:val="20"/>
        </w:rPr>
        <w:t xml:space="preserve">. </w:t>
      </w:r>
    </w:p>
    <w:p w14:paraId="634377D7" w14:textId="77777777" w:rsidR="003D14D7" w:rsidRPr="00725295" w:rsidRDefault="003D14D7" w:rsidP="00B4285D">
      <w:pPr>
        <w:rPr>
          <w:sz w:val="20"/>
        </w:rPr>
      </w:pPr>
    </w:p>
    <w:p w14:paraId="7306EF6D" w14:textId="537F2FA2" w:rsidR="00F32F3A" w:rsidRPr="00B4285D" w:rsidRDefault="00A2430B" w:rsidP="00B4285D">
      <w:pPr>
        <w:rPr>
          <w:b/>
          <w:color w:val="007E79"/>
          <w:sz w:val="20"/>
        </w:rPr>
      </w:pPr>
      <w:r w:rsidRPr="00B4285D">
        <w:rPr>
          <w:b/>
          <w:color w:val="007E79"/>
          <w:sz w:val="20"/>
        </w:rPr>
        <w:t>Výhled h</w:t>
      </w:r>
      <w:r w:rsidR="00F32F3A" w:rsidRPr="00B4285D">
        <w:rPr>
          <w:b/>
          <w:color w:val="007E79"/>
          <w:sz w:val="20"/>
        </w:rPr>
        <w:t>ospodářsk</w:t>
      </w:r>
      <w:r w:rsidRPr="00B4285D">
        <w:rPr>
          <w:b/>
          <w:color w:val="007E79"/>
          <w:sz w:val="20"/>
        </w:rPr>
        <w:t>ého</w:t>
      </w:r>
      <w:r w:rsidR="00F32F3A" w:rsidRPr="00B4285D">
        <w:rPr>
          <w:b/>
          <w:color w:val="007E79"/>
          <w:sz w:val="20"/>
        </w:rPr>
        <w:t xml:space="preserve"> růst</w:t>
      </w:r>
      <w:r w:rsidRPr="00B4285D">
        <w:rPr>
          <w:b/>
          <w:color w:val="007E79"/>
          <w:sz w:val="20"/>
        </w:rPr>
        <w:t>u ČR</w:t>
      </w:r>
      <w:r w:rsidR="005C60BB" w:rsidRPr="00B4285D">
        <w:rPr>
          <w:b/>
          <w:color w:val="007E79"/>
          <w:sz w:val="20"/>
        </w:rPr>
        <w:t xml:space="preserve">: </w:t>
      </w:r>
      <w:r w:rsidR="007204F9" w:rsidRPr="00B4285D">
        <w:rPr>
          <w:b/>
          <w:color w:val="007E79"/>
          <w:sz w:val="20"/>
        </w:rPr>
        <w:t>po dvojím</w:t>
      </w:r>
      <w:r w:rsidR="00576028" w:rsidRPr="00B4285D">
        <w:rPr>
          <w:b/>
          <w:color w:val="007E79"/>
          <w:sz w:val="20"/>
        </w:rPr>
        <w:t xml:space="preserve"> propad</w:t>
      </w:r>
      <w:r w:rsidR="007204F9" w:rsidRPr="00B4285D">
        <w:rPr>
          <w:b/>
          <w:color w:val="007E79"/>
          <w:sz w:val="20"/>
        </w:rPr>
        <w:t xml:space="preserve">u </w:t>
      </w:r>
      <w:r w:rsidR="009A1DCA" w:rsidRPr="00B4285D">
        <w:rPr>
          <w:b/>
          <w:color w:val="007E79"/>
          <w:sz w:val="20"/>
        </w:rPr>
        <w:t>následuje</w:t>
      </w:r>
      <w:r w:rsidR="00576028" w:rsidRPr="00B4285D">
        <w:rPr>
          <w:b/>
          <w:color w:val="007E79"/>
          <w:sz w:val="20"/>
        </w:rPr>
        <w:t xml:space="preserve"> oživení</w:t>
      </w:r>
    </w:p>
    <w:p w14:paraId="7CB0BE83" w14:textId="0E3D2535" w:rsidR="00B639BE" w:rsidRPr="00B4285D" w:rsidRDefault="00C10771" w:rsidP="00B4285D">
      <w:pPr>
        <w:rPr>
          <w:sz w:val="20"/>
        </w:rPr>
      </w:pPr>
      <w:r w:rsidRPr="00C10771">
        <w:rPr>
          <w:noProof/>
          <w:sz w:val="20"/>
        </w:rPr>
        <mc:AlternateContent>
          <mc:Choice Requires="wps">
            <w:drawing>
              <wp:anchor distT="45720" distB="45720" distL="114300" distR="114300" simplePos="0" relativeHeight="251662336" behindDoc="0" locked="0" layoutInCell="1" allowOverlap="1" wp14:anchorId="45141B40" wp14:editId="7539305F">
                <wp:simplePos x="0" y="0"/>
                <wp:positionH relativeFrom="margin">
                  <wp:posOffset>3641</wp:posOffset>
                </wp:positionH>
                <wp:positionV relativeFrom="paragraph">
                  <wp:posOffset>1470998</wp:posOffset>
                </wp:positionV>
                <wp:extent cx="6426200" cy="1404620"/>
                <wp:effectExtent l="0" t="0" r="12700"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404620"/>
                        </a:xfrm>
                        <a:prstGeom prst="rect">
                          <a:avLst/>
                        </a:prstGeom>
                        <a:solidFill>
                          <a:srgbClr val="FFFFFF"/>
                        </a:solidFill>
                        <a:ln w="9525">
                          <a:solidFill>
                            <a:srgbClr val="000000"/>
                          </a:solidFill>
                          <a:miter lim="800000"/>
                          <a:headEnd/>
                          <a:tailEnd/>
                        </a:ln>
                      </wps:spPr>
                      <wps:txbx>
                        <w:txbxContent>
                          <w:p w14:paraId="7A6D3BFA" w14:textId="1009C78F" w:rsidR="00C10771" w:rsidRPr="005D053D" w:rsidRDefault="00C10771">
                            <w:pPr>
                              <w:rPr>
                                <w:sz w:val="20"/>
                              </w:rPr>
                            </w:pPr>
                            <w:r w:rsidRPr="005D053D">
                              <w:rPr>
                                <w:b/>
                                <w:bCs/>
                                <w:sz w:val="20"/>
                              </w:rPr>
                              <w:t>Pavel Sobíšek</w:t>
                            </w:r>
                            <w:r w:rsidRPr="005D053D">
                              <w:rPr>
                                <w:sz w:val="20"/>
                              </w:rPr>
                              <w:t>, h</w:t>
                            </w:r>
                            <w:r>
                              <w:rPr>
                                <w:sz w:val="20"/>
                              </w:rPr>
                              <w:t>l</w:t>
                            </w:r>
                            <w:r w:rsidRPr="005D053D">
                              <w:rPr>
                                <w:sz w:val="20"/>
                              </w:rPr>
                              <w:t>avní ekonom UniCredit Bank:</w:t>
                            </w:r>
                          </w:p>
                          <w:p w14:paraId="65DA4B09" w14:textId="5ADE59BF" w:rsidR="00C10771" w:rsidRPr="005D053D" w:rsidRDefault="00C10771">
                            <w:pPr>
                              <w:rPr>
                                <w:i/>
                                <w:iCs/>
                                <w:sz w:val="20"/>
                              </w:rPr>
                            </w:pPr>
                            <w:r w:rsidRPr="005D053D">
                              <w:rPr>
                                <w:i/>
                                <w:iCs/>
                                <w:sz w:val="20"/>
                              </w:rPr>
                              <w:t xml:space="preserve">„Mezi členy panelu existuje plná shoda v tom, že </w:t>
                            </w:r>
                            <w:r w:rsidR="00A91FC2" w:rsidRPr="005D053D">
                              <w:rPr>
                                <w:i/>
                                <w:iCs/>
                                <w:sz w:val="20"/>
                              </w:rPr>
                              <w:t xml:space="preserve">letos </w:t>
                            </w:r>
                            <w:r w:rsidRPr="005D053D">
                              <w:rPr>
                                <w:i/>
                                <w:iCs/>
                                <w:sz w:val="20"/>
                              </w:rPr>
                              <w:t xml:space="preserve">dojde v české ekonomice k oživení. Nejistota panuje především ohledně dynamiky HDP během současného, prvního kvartálu. Výraznější mezikvartální propad z tohoto období by </w:t>
                            </w:r>
                            <w:r w:rsidR="00F55301" w:rsidRPr="005D053D">
                              <w:rPr>
                                <w:i/>
                                <w:iCs/>
                                <w:sz w:val="20"/>
                              </w:rPr>
                              <w:t>negativně ovlivnil celoroční výsledek.“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141B40" id="_x0000_t202" coordsize="21600,21600" o:spt="202" path="m,l,21600r21600,l21600,xe">
                <v:stroke joinstyle="miter"/>
                <v:path gradientshapeok="t" o:connecttype="rect"/>
              </v:shapetype>
              <v:shape id="Text Box 2" o:spid="_x0000_s1028" type="#_x0000_t202" style="position:absolute;left:0;text-align:left;margin-left:.3pt;margin-top:115.85pt;width:506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">
                <v:textbox style="mso-fit-shape-to-text:t">
                  <w:txbxContent>
                    <w:p w14:paraId="7A6D3BFA" w14:textId="1009C78F" w:rsidR="00C10771" w:rsidRPr="005D053D" w:rsidRDefault="00C10771">
                      <w:pPr>
                        <w:rPr>
                          <w:sz w:val="20"/>
                        </w:rPr>
                      </w:pPr>
                      <w:r w:rsidRPr="005D053D">
                        <w:rPr>
                          <w:b/>
                          <w:bCs/>
                          <w:sz w:val="20"/>
                        </w:rPr>
                        <w:t>Pavel Sobíšek</w:t>
                      </w:r>
                      <w:r w:rsidRPr="005D053D">
                        <w:rPr>
                          <w:sz w:val="20"/>
                        </w:rPr>
                        <w:t>, h</w:t>
                      </w:r>
                      <w:r>
                        <w:rPr>
                          <w:sz w:val="20"/>
                        </w:rPr>
                        <w:t>l</w:t>
                      </w:r>
                      <w:r w:rsidRPr="005D053D">
                        <w:rPr>
                          <w:sz w:val="20"/>
                        </w:rPr>
                        <w:t>avní ekonom UniCredit Bank:</w:t>
                      </w:r>
                    </w:p>
                    <w:p w14:paraId="65DA4B09" w14:textId="5ADE59BF" w:rsidR="00C10771" w:rsidRPr="005D053D" w:rsidRDefault="00C10771">
                      <w:pPr>
                        <w:rPr>
                          <w:i/>
                          <w:iCs/>
                          <w:sz w:val="20"/>
                        </w:rPr>
                      </w:pPr>
                      <w:r w:rsidRPr="005D053D">
                        <w:rPr>
                          <w:i/>
                          <w:iCs/>
                          <w:sz w:val="20"/>
                        </w:rPr>
                        <w:t xml:space="preserve">„Mezi členy panelu existuje plná shoda v tom, že </w:t>
                      </w:r>
                      <w:r w:rsidR="00A91FC2" w:rsidRPr="005D053D">
                        <w:rPr>
                          <w:i/>
                          <w:iCs/>
                          <w:sz w:val="20"/>
                        </w:rPr>
                        <w:t>letos</w:t>
                      </w:r>
                      <w:r w:rsidR="00A91FC2" w:rsidRPr="005D053D">
                        <w:rPr>
                          <w:i/>
                          <w:iCs/>
                          <w:sz w:val="20"/>
                        </w:rPr>
                        <w:t xml:space="preserve"> </w:t>
                      </w:r>
                      <w:r w:rsidRPr="005D053D">
                        <w:rPr>
                          <w:i/>
                          <w:iCs/>
                          <w:sz w:val="20"/>
                        </w:rPr>
                        <w:t xml:space="preserve">dojde v české ekonomice k oživení. Nejistota panuje především ohledně dynamiky HDP během současného, prvního kvartálu. Výraznější </w:t>
                      </w:r>
                      <w:proofErr w:type="spellStart"/>
                      <w:r w:rsidRPr="005D053D">
                        <w:rPr>
                          <w:i/>
                          <w:iCs/>
                          <w:sz w:val="20"/>
                        </w:rPr>
                        <w:t>mezikvartální</w:t>
                      </w:r>
                      <w:proofErr w:type="spellEnd"/>
                      <w:r w:rsidRPr="005D053D">
                        <w:rPr>
                          <w:i/>
                          <w:iCs/>
                          <w:sz w:val="20"/>
                        </w:rPr>
                        <w:t xml:space="preserve"> propad z tohoto období by </w:t>
                      </w:r>
                      <w:r w:rsidR="00F55301" w:rsidRPr="005D053D">
                        <w:rPr>
                          <w:i/>
                          <w:iCs/>
                          <w:sz w:val="20"/>
                        </w:rPr>
                        <w:t>negativně ovlivnil celoroční výsledek.“</w:t>
                      </w:r>
                    </w:p>
                  </w:txbxContent>
                </v:textbox>
                <w10:wrap type="square" anchorx="margin"/>
              </v:shape>
            </w:pict>
          </mc:Fallback>
        </mc:AlternateContent>
      </w:r>
      <w:r w:rsidR="009A1DCA" w:rsidRPr="00B4285D">
        <w:rPr>
          <w:sz w:val="20"/>
        </w:rPr>
        <w:t xml:space="preserve">Ačkoli epidemiologická situace Česka se zatím nelepší, </w:t>
      </w:r>
      <w:r w:rsidR="009D150F" w:rsidRPr="00B4285D">
        <w:rPr>
          <w:sz w:val="20"/>
        </w:rPr>
        <w:t xml:space="preserve">jsou </w:t>
      </w:r>
      <w:r w:rsidR="009A1DCA" w:rsidRPr="00B4285D">
        <w:rPr>
          <w:sz w:val="20"/>
        </w:rPr>
        <w:t>experti prognostického panelu ČBA</w:t>
      </w:r>
      <w:r w:rsidR="00D9338E">
        <w:rPr>
          <w:sz w:val="20"/>
        </w:rPr>
        <w:t xml:space="preserve"> vcelku</w:t>
      </w:r>
      <w:r w:rsidR="009A1DCA" w:rsidRPr="00B4285D">
        <w:rPr>
          <w:sz w:val="20"/>
        </w:rPr>
        <w:t xml:space="preserve"> </w:t>
      </w:r>
      <w:r w:rsidR="009D150F" w:rsidRPr="00B4285D">
        <w:rPr>
          <w:sz w:val="20"/>
        </w:rPr>
        <w:t>optimisté</w:t>
      </w:r>
      <w:r w:rsidR="009A1DCA" w:rsidRPr="00B4285D">
        <w:rPr>
          <w:sz w:val="20"/>
        </w:rPr>
        <w:t xml:space="preserve">. </w:t>
      </w:r>
      <w:r w:rsidR="0037051A" w:rsidRPr="00B4285D">
        <w:rPr>
          <w:sz w:val="20"/>
        </w:rPr>
        <w:t xml:space="preserve">První čtvrtletí </w:t>
      </w:r>
      <w:r w:rsidR="0037051A" w:rsidRPr="00B4285D">
        <w:rPr>
          <w:b/>
          <w:sz w:val="20"/>
        </w:rPr>
        <w:t>letošního roku</w:t>
      </w:r>
      <w:r w:rsidR="0037051A" w:rsidRPr="00B4285D">
        <w:rPr>
          <w:sz w:val="20"/>
        </w:rPr>
        <w:t xml:space="preserve"> by sice ještě mělo být ve znamení mírného meziročního hospodářského poklesu</w:t>
      </w:r>
      <w:r w:rsidR="00D9338E">
        <w:rPr>
          <w:sz w:val="20"/>
        </w:rPr>
        <w:t xml:space="preserve"> </w:t>
      </w:r>
      <w:r w:rsidR="005D053D">
        <w:rPr>
          <w:sz w:val="20"/>
        </w:rPr>
        <w:br/>
      </w:r>
      <w:r w:rsidR="00D9338E">
        <w:rPr>
          <w:sz w:val="20"/>
        </w:rPr>
        <w:t xml:space="preserve">o </w:t>
      </w:r>
      <w:r w:rsidR="00D9338E" w:rsidRPr="00B4285D">
        <w:rPr>
          <w:sz w:val="20"/>
        </w:rPr>
        <w:t>1,9</w:t>
      </w:r>
      <w:r w:rsidR="003366D7">
        <w:rPr>
          <w:sz w:val="20"/>
        </w:rPr>
        <w:t xml:space="preserve"> </w:t>
      </w:r>
      <w:r w:rsidR="00D9338E" w:rsidRPr="00B4285D">
        <w:rPr>
          <w:sz w:val="20"/>
        </w:rPr>
        <w:t>%</w:t>
      </w:r>
      <w:r w:rsidR="00D9338E">
        <w:rPr>
          <w:sz w:val="20"/>
        </w:rPr>
        <w:t>, b</w:t>
      </w:r>
      <w:r w:rsidR="0037051A" w:rsidRPr="00B4285D">
        <w:rPr>
          <w:sz w:val="20"/>
        </w:rPr>
        <w:t>ěhem jara však už lze</w:t>
      </w:r>
      <w:r w:rsidR="00001E30" w:rsidRPr="00B4285D">
        <w:rPr>
          <w:sz w:val="20"/>
        </w:rPr>
        <w:t xml:space="preserve"> </w:t>
      </w:r>
      <w:r w:rsidR="0037051A" w:rsidRPr="00B4285D">
        <w:rPr>
          <w:sz w:val="20"/>
        </w:rPr>
        <w:t xml:space="preserve">očekávat poměrně razantní oživení a </w:t>
      </w:r>
      <w:r w:rsidR="00D9338E">
        <w:rPr>
          <w:sz w:val="20"/>
        </w:rPr>
        <w:t xml:space="preserve">celoroční růst </w:t>
      </w:r>
      <w:r w:rsidR="0037051A" w:rsidRPr="00B4285D">
        <w:rPr>
          <w:sz w:val="20"/>
        </w:rPr>
        <w:t xml:space="preserve">HDP by mohl </w:t>
      </w:r>
      <w:r w:rsidR="00D9338E">
        <w:rPr>
          <w:sz w:val="20"/>
        </w:rPr>
        <w:t xml:space="preserve">dosáhnout </w:t>
      </w:r>
      <w:r w:rsidR="005D053D">
        <w:rPr>
          <w:sz w:val="20"/>
        </w:rPr>
        <w:br/>
      </w:r>
      <w:r w:rsidR="00D9338E">
        <w:rPr>
          <w:sz w:val="20"/>
        </w:rPr>
        <w:t>na</w:t>
      </w:r>
      <w:r w:rsidR="0037051A" w:rsidRPr="00B4285D">
        <w:rPr>
          <w:sz w:val="20"/>
        </w:rPr>
        <w:t xml:space="preserve"> 2,6 %. V jednotlivých složkách HDP se situace bude vyvíjet nerovnoměrně. Zhruba stejným tempem jako HDP by měla růst osobní spotřeba, zatímco tempo růstu veřejné spotřeby očekávají hlavní ekonomové bank na poloviční úrovni. Investiční aktivita se </w:t>
      </w:r>
      <w:r w:rsidR="00B639BE" w:rsidRPr="00B4285D">
        <w:rPr>
          <w:sz w:val="20"/>
        </w:rPr>
        <w:t xml:space="preserve">z loňského poklesu </w:t>
      </w:r>
      <w:r w:rsidR="00D9338E">
        <w:rPr>
          <w:sz w:val="20"/>
        </w:rPr>
        <w:t>(</w:t>
      </w:r>
      <w:r w:rsidR="00D9338E" w:rsidRPr="00B4285D">
        <w:rPr>
          <w:sz w:val="20"/>
        </w:rPr>
        <w:t>8,6</w:t>
      </w:r>
      <w:r w:rsidR="003366D7">
        <w:rPr>
          <w:sz w:val="20"/>
        </w:rPr>
        <w:t xml:space="preserve"> </w:t>
      </w:r>
      <w:r w:rsidR="00D9338E" w:rsidRPr="00B4285D">
        <w:rPr>
          <w:sz w:val="20"/>
        </w:rPr>
        <w:t>%</w:t>
      </w:r>
      <w:r w:rsidR="00D9338E">
        <w:rPr>
          <w:sz w:val="20"/>
        </w:rPr>
        <w:t>)</w:t>
      </w:r>
      <w:r w:rsidR="00D9338E" w:rsidRPr="00B4285D">
        <w:rPr>
          <w:sz w:val="20"/>
        </w:rPr>
        <w:t xml:space="preserve"> </w:t>
      </w:r>
      <w:r w:rsidR="00B639BE" w:rsidRPr="00B4285D">
        <w:rPr>
          <w:sz w:val="20"/>
        </w:rPr>
        <w:t xml:space="preserve">dostane na růstovou trajektorii, </w:t>
      </w:r>
      <w:r w:rsidR="00001E30" w:rsidRPr="00B4285D">
        <w:rPr>
          <w:sz w:val="20"/>
        </w:rPr>
        <w:t>nicméně očekávan</w:t>
      </w:r>
      <w:r w:rsidR="00D9338E">
        <w:rPr>
          <w:sz w:val="20"/>
        </w:rPr>
        <w:t>á</w:t>
      </w:r>
      <w:r w:rsidR="00001E30" w:rsidRPr="00B4285D">
        <w:rPr>
          <w:sz w:val="20"/>
        </w:rPr>
        <w:t xml:space="preserve"> </w:t>
      </w:r>
      <w:r w:rsidR="00B639BE" w:rsidRPr="00B4285D">
        <w:rPr>
          <w:sz w:val="20"/>
        </w:rPr>
        <w:t>1,3</w:t>
      </w:r>
      <w:r w:rsidR="003366D7">
        <w:rPr>
          <w:sz w:val="20"/>
        </w:rPr>
        <w:t xml:space="preserve"> </w:t>
      </w:r>
      <w:r w:rsidR="00B639BE" w:rsidRPr="00B4285D">
        <w:rPr>
          <w:sz w:val="20"/>
        </w:rPr>
        <w:t xml:space="preserve">% </w:t>
      </w:r>
      <w:r w:rsidR="00D9338E">
        <w:rPr>
          <w:sz w:val="20"/>
        </w:rPr>
        <w:t>nejsou žádný</w:t>
      </w:r>
      <w:r w:rsidR="00B639BE" w:rsidRPr="00B4285D">
        <w:rPr>
          <w:sz w:val="20"/>
        </w:rPr>
        <w:t xml:space="preserve"> zázrak. </w:t>
      </w:r>
      <w:r w:rsidR="009F1744" w:rsidRPr="00B4285D">
        <w:rPr>
          <w:sz w:val="20"/>
        </w:rPr>
        <w:t xml:space="preserve">Vedle soukromé spotřeby </w:t>
      </w:r>
      <w:r w:rsidR="00D9338E">
        <w:rPr>
          <w:sz w:val="20"/>
        </w:rPr>
        <w:t xml:space="preserve">tak </w:t>
      </w:r>
      <w:r w:rsidR="009F1744" w:rsidRPr="00B4285D">
        <w:rPr>
          <w:sz w:val="20"/>
        </w:rPr>
        <w:t>bude k růstu HDP přispívat i zahraniční obchod</w:t>
      </w:r>
      <w:r w:rsidR="00D9338E">
        <w:rPr>
          <w:sz w:val="20"/>
        </w:rPr>
        <w:t>, kde</w:t>
      </w:r>
      <w:r w:rsidR="009F1744" w:rsidRPr="00B4285D">
        <w:rPr>
          <w:sz w:val="20"/>
        </w:rPr>
        <w:t xml:space="preserve"> se předpokládá </w:t>
      </w:r>
      <w:r w:rsidR="00D9338E">
        <w:rPr>
          <w:sz w:val="20"/>
        </w:rPr>
        <w:t>vzestup</w:t>
      </w:r>
      <w:r w:rsidR="009F1744" w:rsidRPr="00B4285D">
        <w:rPr>
          <w:sz w:val="20"/>
        </w:rPr>
        <w:t xml:space="preserve"> exportů o 5,8 % a dovozů o 5,2 %. Tempo růstu dovozů se bude odvíjet jak od</w:t>
      </w:r>
      <w:r w:rsidR="00D9338E">
        <w:rPr>
          <w:sz w:val="20"/>
        </w:rPr>
        <w:t xml:space="preserve"> </w:t>
      </w:r>
      <w:r w:rsidR="00A84275">
        <w:rPr>
          <w:sz w:val="20"/>
        </w:rPr>
        <w:t>dovozů pro další zpracování</w:t>
      </w:r>
      <w:r w:rsidR="009263C2">
        <w:rPr>
          <w:sz w:val="20"/>
        </w:rPr>
        <w:t xml:space="preserve"> v průmyslu</w:t>
      </w:r>
      <w:r w:rsidR="009F1744" w:rsidRPr="00B4285D">
        <w:rPr>
          <w:sz w:val="20"/>
        </w:rPr>
        <w:t>, tak i od obnoveného sklonu domácností ke spotřebě.</w:t>
      </w:r>
    </w:p>
    <w:p w14:paraId="72365114" w14:textId="078DA283" w:rsidR="00B639BE" w:rsidRDefault="00B639BE" w:rsidP="00B4285D">
      <w:pPr>
        <w:rPr>
          <w:sz w:val="20"/>
        </w:rPr>
      </w:pPr>
    </w:p>
    <w:p w14:paraId="28D17396" w14:textId="6E92E145" w:rsidR="00B639BE" w:rsidRPr="00B4285D" w:rsidRDefault="00B639BE" w:rsidP="00B4285D">
      <w:pPr>
        <w:rPr>
          <w:sz w:val="20"/>
        </w:rPr>
      </w:pPr>
      <w:r w:rsidRPr="00B4285D">
        <w:rPr>
          <w:sz w:val="20"/>
        </w:rPr>
        <w:t xml:space="preserve">Pro </w:t>
      </w:r>
      <w:r w:rsidRPr="00B4285D">
        <w:rPr>
          <w:b/>
          <w:sz w:val="20"/>
        </w:rPr>
        <w:t>rok 2022</w:t>
      </w:r>
      <w:r w:rsidRPr="00B4285D">
        <w:rPr>
          <w:sz w:val="20"/>
        </w:rPr>
        <w:t xml:space="preserve"> jsou hlavní ekonomové bank výrazně </w:t>
      </w:r>
      <w:r w:rsidR="009F1744" w:rsidRPr="00B4285D">
        <w:rPr>
          <w:sz w:val="20"/>
        </w:rPr>
        <w:t>optimističtější</w:t>
      </w:r>
      <w:r w:rsidRPr="00B4285D">
        <w:rPr>
          <w:sz w:val="20"/>
        </w:rPr>
        <w:t xml:space="preserve">. </w:t>
      </w:r>
      <w:r w:rsidR="009F1744" w:rsidRPr="00B4285D">
        <w:rPr>
          <w:sz w:val="20"/>
        </w:rPr>
        <w:t>H</w:t>
      </w:r>
      <w:r w:rsidR="00571647" w:rsidRPr="00B4285D">
        <w:rPr>
          <w:sz w:val="20"/>
        </w:rPr>
        <w:t xml:space="preserve">lavním tahounem </w:t>
      </w:r>
      <w:r w:rsidR="009F1744" w:rsidRPr="00B4285D">
        <w:rPr>
          <w:sz w:val="20"/>
        </w:rPr>
        <w:t xml:space="preserve">4,6% růstu HDP </w:t>
      </w:r>
      <w:r w:rsidR="00571647" w:rsidRPr="00B4285D">
        <w:rPr>
          <w:sz w:val="20"/>
        </w:rPr>
        <w:t xml:space="preserve">by se měly stát investice, jejichž tempo by mohlo </w:t>
      </w:r>
      <w:r w:rsidR="003366D7">
        <w:rPr>
          <w:sz w:val="20"/>
        </w:rPr>
        <w:t>zrychlit o</w:t>
      </w:r>
      <w:r w:rsidR="00571647" w:rsidRPr="00B4285D">
        <w:rPr>
          <w:sz w:val="20"/>
        </w:rPr>
        <w:t xml:space="preserve"> solidních 7 %. Osobní spotřeba oproti letošnímu roku dále mírně navýší tempo na 3,1 %</w:t>
      </w:r>
      <w:r w:rsidR="009F1744" w:rsidRPr="00B4285D">
        <w:rPr>
          <w:sz w:val="20"/>
        </w:rPr>
        <w:t>. O</w:t>
      </w:r>
      <w:r w:rsidR="00571647" w:rsidRPr="00B4285D">
        <w:rPr>
          <w:sz w:val="20"/>
        </w:rPr>
        <w:t xml:space="preserve">čekávaná spotřeba vlády mírně poklesne na 1,1 %. Tempa růstu vývozu (6,4 %) a dovozu (6,2 %) budou nadále stoupat, ale vzhledem k jejich </w:t>
      </w:r>
      <w:r w:rsidR="009263C2">
        <w:rPr>
          <w:sz w:val="20"/>
        </w:rPr>
        <w:t>sblížení</w:t>
      </w:r>
      <w:r w:rsidR="00571647" w:rsidRPr="00B4285D">
        <w:rPr>
          <w:sz w:val="20"/>
        </w:rPr>
        <w:t xml:space="preserve"> </w:t>
      </w:r>
      <w:r w:rsidR="00957974">
        <w:rPr>
          <w:sz w:val="20"/>
        </w:rPr>
        <w:t>se</w:t>
      </w:r>
      <w:r w:rsidR="00957974" w:rsidRPr="00B4285D">
        <w:rPr>
          <w:sz w:val="20"/>
        </w:rPr>
        <w:t xml:space="preserve"> </w:t>
      </w:r>
      <w:r w:rsidR="00571647" w:rsidRPr="00B4285D">
        <w:rPr>
          <w:sz w:val="20"/>
        </w:rPr>
        <w:t xml:space="preserve">příspěvek čistých exportů k celkovému hospodářskému růstu Česka </w:t>
      </w:r>
      <w:r w:rsidR="00957974">
        <w:rPr>
          <w:sz w:val="20"/>
        </w:rPr>
        <w:t>proti roku 2021 sníží</w:t>
      </w:r>
      <w:r w:rsidR="00571647" w:rsidRPr="00B4285D">
        <w:rPr>
          <w:sz w:val="20"/>
        </w:rPr>
        <w:t>.</w:t>
      </w:r>
    </w:p>
    <w:p w14:paraId="064C1D22" w14:textId="77777777" w:rsidR="00B639BE" w:rsidRPr="00B4285D" w:rsidRDefault="00B639BE" w:rsidP="00B4285D">
      <w:pPr>
        <w:rPr>
          <w:sz w:val="20"/>
        </w:rPr>
      </w:pPr>
    </w:p>
    <w:p w14:paraId="2FB25880" w14:textId="58E0B5F7" w:rsidR="005C60BB" w:rsidRPr="00B4285D" w:rsidRDefault="005C60BB" w:rsidP="00B4285D">
      <w:pPr>
        <w:rPr>
          <w:b/>
          <w:color w:val="007E79"/>
          <w:sz w:val="20"/>
        </w:rPr>
      </w:pPr>
      <w:r w:rsidRPr="00725295">
        <w:rPr>
          <w:b/>
          <w:color w:val="007E79"/>
          <w:sz w:val="20"/>
        </w:rPr>
        <w:t>Trh práce</w:t>
      </w:r>
      <w:r w:rsidR="006A54C3" w:rsidRPr="00725295">
        <w:rPr>
          <w:b/>
          <w:color w:val="007E79"/>
          <w:sz w:val="20"/>
        </w:rPr>
        <w:t xml:space="preserve"> – </w:t>
      </w:r>
      <w:r w:rsidR="00835E99" w:rsidRPr="00725295">
        <w:rPr>
          <w:b/>
          <w:color w:val="007E79"/>
          <w:sz w:val="20"/>
        </w:rPr>
        <w:t xml:space="preserve">nezaměstnanost navzdory pandemii nízká, </w:t>
      </w:r>
      <w:r w:rsidR="006A54C3" w:rsidRPr="00B4285D">
        <w:rPr>
          <w:b/>
          <w:color w:val="007E79"/>
          <w:sz w:val="20"/>
        </w:rPr>
        <w:t>strukturální problémy přetrvávají</w:t>
      </w:r>
    </w:p>
    <w:p w14:paraId="4F8B05CF" w14:textId="43AFD585" w:rsidR="00B85767" w:rsidRPr="00B4285D" w:rsidRDefault="004C1B31" w:rsidP="00B4285D">
      <w:pPr>
        <w:rPr>
          <w:noProof/>
          <w:sz w:val="20"/>
        </w:rPr>
      </w:pPr>
      <w:r w:rsidRPr="00B4285D">
        <w:rPr>
          <w:noProof/>
          <w:sz w:val="20"/>
        </w:rPr>
        <w:t>Mezera mezi volnými pracovními místy a počtem nezaměstnaných se od březnové nejvyšší hodnoty</w:t>
      </w:r>
      <w:r w:rsidR="00026596" w:rsidRPr="00B4285D">
        <w:rPr>
          <w:noProof/>
          <w:sz w:val="20"/>
        </w:rPr>
        <w:t xml:space="preserve"> na začátku pandemie</w:t>
      </w:r>
      <w:r w:rsidRPr="00B4285D">
        <w:rPr>
          <w:noProof/>
          <w:sz w:val="20"/>
        </w:rPr>
        <w:t xml:space="preserve">, kdy volných míst bylo o cca 124 tisíc více než žadatelů, postupně uzavírala. Prosincový </w:t>
      </w:r>
      <w:r w:rsidR="00026596" w:rsidRPr="00B4285D">
        <w:rPr>
          <w:noProof/>
          <w:sz w:val="20"/>
        </w:rPr>
        <w:t>„</w:t>
      </w:r>
      <w:r w:rsidRPr="00B4285D">
        <w:rPr>
          <w:noProof/>
          <w:sz w:val="20"/>
        </w:rPr>
        <w:t>převis</w:t>
      </w:r>
      <w:r w:rsidR="00026596" w:rsidRPr="00B4285D">
        <w:rPr>
          <w:noProof/>
          <w:sz w:val="20"/>
        </w:rPr>
        <w:t>“</w:t>
      </w:r>
      <w:r w:rsidRPr="00B4285D">
        <w:rPr>
          <w:noProof/>
          <w:sz w:val="20"/>
        </w:rPr>
        <w:t xml:space="preserve"> volných míst byl na úrovni „pouhých“ 27 tisíc. </w:t>
      </w:r>
      <w:r w:rsidR="009263C2">
        <w:rPr>
          <w:noProof/>
          <w:sz w:val="20"/>
        </w:rPr>
        <w:t>R</w:t>
      </w:r>
      <w:r w:rsidRPr="00B4285D">
        <w:rPr>
          <w:noProof/>
          <w:sz w:val="20"/>
        </w:rPr>
        <w:t xml:space="preserve">ychle </w:t>
      </w:r>
      <w:r w:rsidR="009263C2">
        <w:rPr>
          <w:noProof/>
          <w:sz w:val="20"/>
        </w:rPr>
        <w:t xml:space="preserve">totiž </w:t>
      </w:r>
      <w:r w:rsidRPr="00B4285D">
        <w:rPr>
          <w:noProof/>
          <w:sz w:val="20"/>
        </w:rPr>
        <w:t>přibývalo uchazečů o zaměstnání (66 tis</w:t>
      </w:r>
      <w:r w:rsidR="003366D7">
        <w:rPr>
          <w:noProof/>
          <w:sz w:val="20"/>
        </w:rPr>
        <w:t>íc</w:t>
      </w:r>
      <w:r w:rsidRPr="00B4285D">
        <w:rPr>
          <w:noProof/>
          <w:sz w:val="20"/>
        </w:rPr>
        <w:t>), zatímco nabídka volných míst se snižovala (33 tis</w:t>
      </w:r>
      <w:r w:rsidR="003366D7">
        <w:rPr>
          <w:noProof/>
          <w:sz w:val="20"/>
        </w:rPr>
        <w:t>íc</w:t>
      </w:r>
      <w:r w:rsidRPr="00B4285D">
        <w:rPr>
          <w:noProof/>
          <w:sz w:val="20"/>
        </w:rPr>
        <w:t>)</w:t>
      </w:r>
      <w:r w:rsidR="00026596" w:rsidRPr="00B4285D">
        <w:rPr>
          <w:noProof/>
          <w:sz w:val="20"/>
        </w:rPr>
        <w:t xml:space="preserve">. I tak je ale česká ekonomika v rámci EU v relativně unikátní situaci a </w:t>
      </w:r>
      <w:r w:rsidR="00383E25">
        <w:rPr>
          <w:noProof/>
          <w:sz w:val="20"/>
        </w:rPr>
        <w:t xml:space="preserve">podíl nezaměstnaných osob </w:t>
      </w:r>
      <w:r w:rsidR="00026596" w:rsidRPr="00B4285D">
        <w:rPr>
          <w:noProof/>
          <w:sz w:val="20"/>
        </w:rPr>
        <w:t xml:space="preserve">v prosinci </w:t>
      </w:r>
      <w:r w:rsidR="00383E25">
        <w:rPr>
          <w:noProof/>
          <w:sz w:val="20"/>
        </w:rPr>
        <w:t>dosáhl pouze 4</w:t>
      </w:r>
      <w:r w:rsidR="00026596" w:rsidRPr="00383E25">
        <w:rPr>
          <w:noProof/>
          <w:sz w:val="20"/>
        </w:rPr>
        <w:t xml:space="preserve"> %</w:t>
      </w:r>
      <w:r w:rsidR="0056315C" w:rsidRPr="00383E25">
        <w:rPr>
          <w:noProof/>
          <w:sz w:val="20"/>
        </w:rPr>
        <w:t xml:space="preserve"> (cca o 1 procentní bod výše, než před rokem)</w:t>
      </w:r>
      <w:r w:rsidR="00026596" w:rsidRPr="00383E25">
        <w:rPr>
          <w:noProof/>
          <w:sz w:val="20"/>
        </w:rPr>
        <w:t>.</w:t>
      </w:r>
      <w:r w:rsidR="00026596" w:rsidRPr="00B4285D">
        <w:rPr>
          <w:noProof/>
          <w:sz w:val="20"/>
        </w:rPr>
        <w:t xml:space="preserve"> </w:t>
      </w:r>
    </w:p>
    <w:p w14:paraId="4DF34CAF" w14:textId="77777777" w:rsidR="00B85767" w:rsidRPr="00B4285D" w:rsidRDefault="00B85767" w:rsidP="00B4285D">
      <w:pPr>
        <w:rPr>
          <w:noProof/>
          <w:sz w:val="20"/>
        </w:rPr>
      </w:pPr>
    </w:p>
    <w:p w14:paraId="645E9675" w14:textId="6FACEFA1" w:rsidR="00B85767" w:rsidRPr="00B4285D" w:rsidRDefault="00B85767" w:rsidP="00B4285D">
      <w:pPr>
        <w:rPr>
          <w:noProof/>
          <w:sz w:val="20"/>
        </w:rPr>
      </w:pPr>
      <w:r w:rsidRPr="00B4285D">
        <w:rPr>
          <w:noProof/>
          <w:sz w:val="20"/>
        </w:rPr>
        <w:t>Vyššímu nárůstu nezaměstnanosti účinně bránila vládní podpůrná opatření (zejména program Antivirus)</w:t>
      </w:r>
      <w:r w:rsidR="006756FC" w:rsidRPr="00B4285D">
        <w:rPr>
          <w:noProof/>
          <w:sz w:val="20"/>
        </w:rPr>
        <w:t>. Nicméně</w:t>
      </w:r>
      <w:r w:rsidRPr="00B4285D">
        <w:rPr>
          <w:noProof/>
          <w:sz w:val="20"/>
        </w:rPr>
        <w:t xml:space="preserve"> v některých oborech, </w:t>
      </w:r>
      <w:r w:rsidR="006756FC" w:rsidRPr="00B4285D">
        <w:rPr>
          <w:noProof/>
          <w:sz w:val="20"/>
        </w:rPr>
        <w:t>které jsou postižen</w:t>
      </w:r>
      <w:r w:rsidR="006146A8" w:rsidRPr="00B4285D">
        <w:rPr>
          <w:noProof/>
          <w:sz w:val="20"/>
        </w:rPr>
        <w:t xml:space="preserve">y </w:t>
      </w:r>
      <w:r w:rsidRPr="00B4285D">
        <w:rPr>
          <w:noProof/>
          <w:sz w:val="20"/>
        </w:rPr>
        <w:t>dlouhodobější ztrátou perspektivy</w:t>
      </w:r>
      <w:r w:rsidR="006756FC" w:rsidRPr="00B4285D">
        <w:rPr>
          <w:noProof/>
          <w:sz w:val="20"/>
        </w:rPr>
        <w:t xml:space="preserve">, </w:t>
      </w:r>
      <w:r w:rsidR="009263C2">
        <w:rPr>
          <w:noProof/>
          <w:sz w:val="20"/>
        </w:rPr>
        <w:t>bude pokračovat</w:t>
      </w:r>
      <w:r w:rsidRPr="00B4285D">
        <w:rPr>
          <w:noProof/>
          <w:sz w:val="20"/>
        </w:rPr>
        <w:t> odliv</w:t>
      </w:r>
      <w:r w:rsidR="009263C2">
        <w:rPr>
          <w:noProof/>
          <w:sz w:val="20"/>
        </w:rPr>
        <w:t xml:space="preserve"> a bývalí zaměstnanci </w:t>
      </w:r>
      <w:r w:rsidRPr="00B4285D">
        <w:rPr>
          <w:noProof/>
          <w:sz w:val="20"/>
        </w:rPr>
        <w:t xml:space="preserve">budou hledat </w:t>
      </w:r>
      <w:r w:rsidR="009263C2">
        <w:rPr>
          <w:noProof/>
          <w:sz w:val="20"/>
        </w:rPr>
        <w:t xml:space="preserve">pracovní přiležitosti </w:t>
      </w:r>
      <w:r w:rsidRPr="00B4285D">
        <w:rPr>
          <w:noProof/>
          <w:sz w:val="20"/>
        </w:rPr>
        <w:t xml:space="preserve">jinde. </w:t>
      </w:r>
      <w:r w:rsidR="006756FC" w:rsidRPr="00B4285D">
        <w:rPr>
          <w:noProof/>
          <w:sz w:val="20"/>
        </w:rPr>
        <w:t>To</w:t>
      </w:r>
      <w:r w:rsidRPr="00B4285D">
        <w:rPr>
          <w:noProof/>
          <w:sz w:val="20"/>
        </w:rPr>
        <w:t xml:space="preserve"> vyvolává</w:t>
      </w:r>
      <w:r w:rsidR="006756FC" w:rsidRPr="00B4285D">
        <w:rPr>
          <w:noProof/>
          <w:sz w:val="20"/>
        </w:rPr>
        <w:t xml:space="preserve">, zejména regionálně, </w:t>
      </w:r>
      <w:r w:rsidRPr="00B4285D">
        <w:rPr>
          <w:noProof/>
          <w:sz w:val="20"/>
        </w:rPr>
        <w:t>určité napětí na pracovním trhu.</w:t>
      </w:r>
    </w:p>
    <w:p w14:paraId="454BB82E" w14:textId="77777777" w:rsidR="00383E25" w:rsidRDefault="00383E25" w:rsidP="00B4285D">
      <w:pPr>
        <w:rPr>
          <w:noProof/>
          <w:sz w:val="20"/>
        </w:rPr>
      </w:pPr>
    </w:p>
    <w:p w14:paraId="6964071E" w14:textId="4DB4A7DB" w:rsidR="004C1B31" w:rsidRPr="00B4285D" w:rsidRDefault="00026596" w:rsidP="00B4285D">
      <w:pPr>
        <w:rPr>
          <w:noProof/>
          <w:sz w:val="20"/>
        </w:rPr>
      </w:pPr>
      <w:r w:rsidRPr="00B4285D">
        <w:rPr>
          <w:noProof/>
          <w:sz w:val="20"/>
        </w:rPr>
        <w:t xml:space="preserve">Problém na trhu práce je i nadále především strukturální – na konci roku sice přebývalo </w:t>
      </w:r>
      <w:r w:rsidR="0056315C" w:rsidRPr="00B4285D">
        <w:rPr>
          <w:noProof/>
          <w:sz w:val="20"/>
        </w:rPr>
        <w:t xml:space="preserve">např. </w:t>
      </w:r>
      <w:r w:rsidRPr="00B4285D">
        <w:rPr>
          <w:noProof/>
          <w:sz w:val="20"/>
        </w:rPr>
        <w:t>cca 35 tis</w:t>
      </w:r>
      <w:r w:rsidR="003366D7">
        <w:rPr>
          <w:noProof/>
          <w:sz w:val="20"/>
        </w:rPr>
        <w:t>íc</w:t>
      </w:r>
      <w:r w:rsidRPr="00B4285D">
        <w:rPr>
          <w:noProof/>
          <w:sz w:val="20"/>
        </w:rPr>
        <w:t xml:space="preserve"> pracovníků </w:t>
      </w:r>
      <w:r w:rsidR="00B85767" w:rsidRPr="00B4285D">
        <w:rPr>
          <w:noProof/>
          <w:sz w:val="20"/>
        </w:rPr>
        <w:t>ve službách a prodeji či</w:t>
      </w:r>
      <w:r w:rsidRPr="00B4285D">
        <w:rPr>
          <w:noProof/>
          <w:sz w:val="20"/>
        </w:rPr>
        <w:t xml:space="preserve"> 26 tis</w:t>
      </w:r>
      <w:r w:rsidR="003366D7">
        <w:rPr>
          <w:noProof/>
          <w:sz w:val="20"/>
        </w:rPr>
        <w:t>íc</w:t>
      </w:r>
      <w:r w:rsidRPr="00B4285D">
        <w:rPr>
          <w:noProof/>
          <w:sz w:val="20"/>
        </w:rPr>
        <w:t xml:space="preserve"> </w:t>
      </w:r>
      <w:r w:rsidR="003366D7">
        <w:rPr>
          <w:noProof/>
          <w:sz w:val="20"/>
        </w:rPr>
        <w:t>lidí v administrativě</w:t>
      </w:r>
      <w:r w:rsidR="0056315C" w:rsidRPr="00B4285D">
        <w:rPr>
          <w:noProof/>
          <w:sz w:val="20"/>
        </w:rPr>
        <w:t>, na druhé straně se však nedostávalo kolem 74 tis. kvalifikovaných dělníků schopných obsluhovat stroje a montérů či 35,5 tis</w:t>
      </w:r>
      <w:r w:rsidR="00B3228D">
        <w:rPr>
          <w:noProof/>
          <w:sz w:val="20"/>
        </w:rPr>
        <w:t>íc</w:t>
      </w:r>
      <w:r w:rsidR="0056315C" w:rsidRPr="00B4285D">
        <w:rPr>
          <w:noProof/>
          <w:sz w:val="20"/>
        </w:rPr>
        <w:t xml:space="preserve"> řemeslníků a opravářů</w:t>
      </w:r>
      <w:r w:rsidR="006756FC" w:rsidRPr="00B4285D">
        <w:rPr>
          <w:noProof/>
          <w:sz w:val="20"/>
        </w:rPr>
        <w:t>. V oblasti</w:t>
      </w:r>
      <w:r w:rsidR="0056315C" w:rsidRPr="00B4285D">
        <w:rPr>
          <w:noProof/>
          <w:sz w:val="20"/>
        </w:rPr>
        <w:t xml:space="preserve"> nekvalifikované</w:t>
      </w:r>
      <w:r w:rsidR="00B85767" w:rsidRPr="00B4285D">
        <w:rPr>
          <w:noProof/>
          <w:sz w:val="20"/>
        </w:rPr>
        <w:t xml:space="preserve"> </w:t>
      </w:r>
      <w:r w:rsidR="0056315C" w:rsidRPr="00B4285D">
        <w:rPr>
          <w:noProof/>
          <w:sz w:val="20"/>
        </w:rPr>
        <w:t>pracovní síly byl</w:t>
      </w:r>
      <w:r w:rsidR="006756FC" w:rsidRPr="00B4285D">
        <w:rPr>
          <w:noProof/>
          <w:sz w:val="20"/>
        </w:rPr>
        <w:t>a</w:t>
      </w:r>
      <w:r w:rsidR="0056315C" w:rsidRPr="00B4285D">
        <w:rPr>
          <w:noProof/>
          <w:sz w:val="20"/>
        </w:rPr>
        <w:t xml:space="preserve"> nabídka a poptávka zhruba </w:t>
      </w:r>
      <w:r w:rsidR="006756FC" w:rsidRPr="00B4285D">
        <w:rPr>
          <w:noProof/>
          <w:sz w:val="20"/>
        </w:rPr>
        <w:t>vyrovnaná</w:t>
      </w:r>
      <w:r w:rsidR="0056315C" w:rsidRPr="00B4285D">
        <w:rPr>
          <w:noProof/>
          <w:sz w:val="20"/>
        </w:rPr>
        <w:t xml:space="preserve">. </w:t>
      </w:r>
    </w:p>
    <w:p w14:paraId="3D71EA55" w14:textId="77777777" w:rsidR="004C1B31" w:rsidRPr="00B4285D" w:rsidRDefault="004C1B31" w:rsidP="00B4285D">
      <w:pPr>
        <w:rPr>
          <w:noProof/>
          <w:sz w:val="20"/>
        </w:rPr>
      </w:pPr>
    </w:p>
    <w:p w14:paraId="52223CA0" w14:textId="3B267086" w:rsidR="00B85767" w:rsidRPr="00B4285D" w:rsidRDefault="00B85767" w:rsidP="00B4285D">
      <w:pPr>
        <w:rPr>
          <w:noProof/>
          <w:sz w:val="20"/>
        </w:rPr>
      </w:pPr>
      <w:r w:rsidRPr="00B4285D">
        <w:rPr>
          <w:noProof/>
          <w:sz w:val="20"/>
        </w:rPr>
        <w:t>O</w:t>
      </w:r>
      <w:r w:rsidR="00A07E80" w:rsidRPr="00B4285D">
        <w:rPr>
          <w:noProof/>
          <w:sz w:val="20"/>
        </w:rPr>
        <w:t xml:space="preserve">bdobí nejvyšší zaměstnanosti, </w:t>
      </w:r>
      <w:r w:rsidR="006756FC" w:rsidRPr="00B4285D">
        <w:rPr>
          <w:noProof/>
          <w:sz w:val="20"/>
        </w:rPr>
        <w:t>ale i</w:t>
      </w:r>
      <w:r w:rsidR="00DA4328" w:rsidRPr="00B4285D">
        <w:rPr>
          <w:noProof/>
          <w:sz w:val="20"/>
        </w:rPr>
        <w:t xml:space="preserve"> nejnižší nezaměstnanosti</w:t>
      </w:r>
      <w:r w:rsidR="006756FC" w:rsidRPr="00B4285D">
        <w:rPr>
          <w:noProof/>
          <w:sz w:val="20"/>
        </w:rPr>
        <w:t xml:space="preserve">, </w:t>
      </w:r>
      <w:r w:rsidR="00A07E80" w:rsidRPr="00B4285D">
        <w:rPr>
          <w:noProof/>
          <w:sz w:val="20"/>
        </w:rPr>
        <w:t>má český trh práce již</w:t>
      </w:r>
      <w:r w:rsidR="00DA4328" w:rsidRPr="00B4285D">
        <w:rPr>
          <w:noProof/>
          <w:sz w:val="20"/>
        </w:rPr>
        <w:t xml:space="preserve"> za sebou</w:t>
      </w:r>
      <w:r w:rsidR="00A07E80" w:rsidRPr="00B4285D">
        <w:rPr>
          <w:noProof/>
          <w:sz w:val="20"/>
        </w:rPr>
        <w:t xml:space="preserve">. </w:t>
      </w:r>
      <w:r w:rsidRPr="00B4285D">
        <w:rPr>
          <w:noProof/>
          <w:sz w:val="20"/>
        </w:rPr>
        <w:t xml:space="preserve">Podle </w:t>
      </w:r>
      <w:r w:rsidR="00A07E80" w:rsidRPr="00B4285D">
        <w:rPr>
          <w:noProof/>
          <w:sz w:val="20"/>
        </w:rPr>
        <w:t xml:space="preserve">prognostického panelu ČBA </w:t>
      </w:r>
      <w:r w:rsidRPr="00B4285D">
        <w:rPr>
          <w:noProof/>
          <w:sz w:val="20"/>
        </w:rPr>
        <w:t>však bude nárůst míry</w:t>
      </w:r>
      <w:r w:rsidR="0027402B" w:rsidRPr="00B4285D">
        <w:rPr>
          <w:noProof/>
          <w:sz w:val="20"/>
        </w:rPr>
        <w:t xml:space="preserve"> nezaměstnanosti</w:t>
      </w:r>
      <w:r w:rsidR="00E00755" w:rsidRPr="00B4285D">
        <w:rPr>
          <w:noProof/>
          <w:sz w:val="20"/>
        </w:rPr>
        <w:t xml:space="preserve"> v </w:t>
      </w:r>
      <w:r w:rsidR="00B3228D">
        <w:rPr>
          <w:noProof/>
          <w:sz w:val="20"/>
        </w:rPr>
        <w:t>Č</w:t>
      </w:r>
      <w:r w:rsidR="00E00755" w:rsidRPr="00B4285D">
        <w:rPr>
          <w:noProof/>
          <w:sz w:val="20"/>
        </w:rPr>
        <w:t>R pouz</w:t>
      </w:r>
      <w:r w:rsidRPr="00B4285D">
        <w:rPr>
          <w:noProof/>
          <w:sz w:val="20"/>
        </w:rPr>
        <w:t xml:space="preserve">e přechodný. V roce </w:t>
      </w:r>
      <w:r w:rsidR="0027402B" w:rsidRPr="00B4285D">
        <w:rPr>
          <w:noProof/>
          <w:sz w:val="20"/>
        </w:rPr>
        <w:t>2021</w:t>
      </w:r>
      <w:r w:rsidR="00E00755" w:rsidRPr="00B4285D">
        <w:rPr>
          <w:noProof/>
          <w:sz w:val="20"/>
        </w:rPr>
        <w:t xml:space="preserve"> od</w:t>
      </w:r>
      <w:r w:rsidR="00BF1E98" w:rsidRPr="00B4285D">
        <w:rPr>
          <w:noProof/>
          <w:sz w:val="20"/>
        </w:rPr>
        <w:t xml:space="preserve">haduje </w:t>
      </w:r>
      <w:r w:rsidR="002C4547" w:rsidRPr="00B4285D">
        <w:rPr>
          <w:noProof/>
          <w:sz w:val="20"/>
        </w:rPr>
        <w:t>průměrnou nezaměstnanost na 4,4 %</w:t>
      </w:r>
      <w:r w:rsidRPr="00B4285D">
        <w:rPr>
          <w:noProof/>
          <w:sz w:val="20"/>
        </w:rPr>
        <w:t xml:space="preserve">, </w:t>
      </w:r>
      <w:r w:rsidR="002C4547" w:rsidRPr="00B4285D">
        <w:rPr>
          <w:noProof/>
          <w:sz w:val="20"/>
        </w:rPr>
        <w:t xml:space="preserve">která </w:t>
      </w:r>
      <w:r w:rsidRPr="00B4285D">
        <w:rPr>
          <w:noProof/>
          <w:sz w:val="20"/>
        </w:rPr>
        <w:t xml:space="preserve">by následně v roce 2022 poklesla na </w:t>
      </w:r>
      <w:r w:rsidR="002C4547" w:rsidRPr="00B4285D">
        <w:rPr>
          <w:noProof/>
          <w:sz w:val="20"/>
        </w:rPr>
        <w:t>3,9 %.</w:t>
      </w:r>
    </w:p>
    <w:p w14:paraId="769B9231" w14:textId="77777777" w:rsidR="00B85767" w:rsidRPr="00B4285D" w:rsidRDefault="00B85767" w:rsidP="00B4285D">
      <w:pPr>
        <w:rPr>
          <w:noProof/>
          <w:sz w:val="20"/>
        </w:rPr>
      </w:pPr>
    </w:p>
    <w:p w14:paraId="17B9ABDD" w14:textId="729F7DFB" w:rsidR="006C6CFF" w:rsidRPr="00B4285D" w:rsidRDefault="002D12BD" w:rsidP="00B4285D">
      <w:pPr>
        <w:rPr>
          <w:b/>
          <w:sz w:val="20"/>
        </w:rPr>
      </w:pPr>
      <w:r w:rsidRPr="00725295">
        <w:rPr>
          <w:b/>
          <w:color w:val="007E79"/>
          <w:sz w:val="20"/>
        </w:rPr>
        <w:lastRenderedPageBreak/>
        <w:t>Veřejné finance</w:t>
      </w:r>
      <w:r w:rsidR="005C60BB" w:rsidRPr="00725295">
        <w:rPr>
          <w:b/>
          <w:color w:val="007E79"/>
          <w:sz w:val="20"/>
        </w:rPr>
        <w:t>: fiskální expanze</w:t>
      </w:r>
      <w:r w:rsidR="00C94C33" w:rsidRPr="00725295">
        <w:rPr>
          <w:b/>
          <w:color w:val="007E79"/>
          <w:sz w:val="20"/>
        </w:rPr>
        <w:t xml:space="preserve"> bez </w:t>
      </w:r>
      <w:r w:rsidR="00355435" w:rsidRPr="00B4285D">
        <w:rPr>
          <w:b/>
          <w:color w:val="007E79"/>
          <w:sz w:val="20"/>
        </w:rPr>
        <w:t xml:space="preserve">zřetelného </w:t>
      </w:r>
      <w:r w:rsidR="00C94C33" w:rsidRPr="00B4285D">
        <w:rPr>
          <w:b/>
          <w:color w:val="007E79"/>
          <w:sz w:val="20"/>
        </w:rPr>
        <w:t>výhledu na konsolidaci</w:t>
      </w:r>
    </w:p>
    <w:p w14:paraId="2831C4CA" w14:textId="4CB79514" w:rsidR="007642B3" w:rsidRPr="00B4285D" w:rsidRDefault="002511A0" w:rsidP="00B4285D">
      <w:pPr>
        <w:rPr>
          <w:noProof/>
          <w:sz w:val="20"/>
        </w:rPr>
      </w:pPr>
      <w:r w:rsidRPr="00B4285D">
        <w:rPr>
          <w:noProof/>
          <w:sz w:val="20"/>
        </w:rPr>
        <w:t>Státní rozpočet loni hospodařil se schodkem 367,4 miliardy korun</w:t>
      </w:r>
      <w:r w:rsidR="00E11110" w:rsidRPr="00B4285D">
        <w:rPr>
          <w:noProof/>
          <w:sz w:val="20"/>
        </w:rPr>
        <w:t xml:space="preserve">. </w:t>
      </w:r>
      <w:r w:rsidRPr="00B4285D">
        <w:rPr>
          <w:noProof/>
          <w:sz w:val="20"/>
        </w:rPr>
        <w:t>MF ČR v lednové predikci očekával</w:t>
      </w:r>
      <w:r w:rsidR="00B64423" w:rsidRPr="00B4285D">
        <w:rPr>
          <w:noProof/>
          <w:sz w:val="20"/>
        </w:rPr>
        <w:t>o</w:t>
      </w:r>
      <w:r w:rsidRPr="00B4285D">
        <w:rPr>
          <w:noProof/>
          <w:sz w:val="20"/>
        </w:rPr>
        <w:t xml:space="preserve"> deficit veřejných financí za rok 2020 ve výši 5,8 % HDP</w:t>
      </w:r>
      <w:r w:rsidR="007642B3" w:rsidRPr="00B4285D">
        <w:rPr>
          <w:noProof/>
          <w:sz w:val="20"/>
        </w:rPr>
        <w:t xml:space="preserve"> (tj. přes 320 miliard korun). </w:t>
      </w:r>
      <w:r w:rsidRPr="00B4285D">
        <w:rPr>
          <w:noProof/>
          <w:sz w:val="20"/>
        </w:rPr>
        <w:t xml:space="preserve">Tento deficit  by mohl být dokonce dále prohlouben ve volebním roce 2021, v němž MF ČR </w:t>
      </w:r>
      <w:r w:rsidR="006756FC" w:rsidRPr="00B4285D">
        <w:rPr>
          <w:noProof/>
          <w:sz w:val="20"/>
        </w:rPr>
        <w:t>i přes očekávaný</w:t>
      </w:r>
      <w:r w:rsidRPr="00B4285D">
        <w:rPr>
          <w:noProof/>
          <w:sz w:val="20"/>
        </w:rPr>
        <w:t xml:space="preserve"> 3,1% růst HDP předvídá schodkové hospodaření veřejných financí v rozsahu 6,6 % HDP</w:t>
      </w:r>
      <w:r w:rsidR="007642B3" w:rsidRPr="00B4285D">
        <w:rPr>
          <w:noProof/>
          <w:sz w:val="20"/>
        </w:rPr>
        <w:t xml:space="preserve"> (tj. téměř 390 miliard korun).</w:t>
      </w:r>
      <w:r w:rsidRPr="00B4285D">
        <w:rPr>
          <w:noProof/>
          <w:sz w:val="20"/>
        </w:rPr>
        <w:t xml:space="preserve"> </w:t>
      </w:r>
      <w:r w:rsidR="00355435" w:rsidRPr="00B4285D">
        <w:rPr>
          <w:noProof/>
          <w:sz w:val="20"/>
        </w:rPr>
        <w:t>Loňská f</w:t>
      </w:r>
      <w:r w:rsidR="00835E99" w:rsidRPr="00B4285D">
        <w:rPr>
          <w:noProof/>
          <w:sz w:val="20"/>
        </w:rPr>
        <w:t>iskální expenze na podporu ekonomiky zasažené protiepidemiologickými opatřeními byla logickým a správným krokem</w:t>
      </w:r>
      <w:r w:rsidR="006756FC" w:rsidRPr="00B4285D">
        <w:rPr>
          <w:noProof/>
          <w:sz w:val="20"/>
        </w:rPr>
        <w:t xml:space="preserve">. </w:t>
      </w:r>
    </w:p>
    <w:p w14:paraId="3A4959E3" w14:textId="2B0A2DE9" w:rsidR="002511A0" w:rsidRPr="00B4285D" w:rsidRDefault="002511A0" w:rsidP="00B4285D">
      <w:pPr>
        <w:rPr>
          <w:rFonts w:cs="Arial"/>
          <w:color w:val="2F2F2F"/>
          <w:sz w:val="20"/>
          <w:shd w:val="clear" w:color="auto" w:fill="FFFFFF"/>
        </w:rPr>
      </w:pPr>
    </w:p>
    <w:p w14:paraId="2B9234C3" w14:textId="39DEF649" w:rsidR="00505C9C" w:rsidRDefault="007C5704" w:rsidP="00B4285D">
      <w:pPr>
        <w:rPr>
          <w:sz w:val="20"/>
        </w:rPr>
      </w:pPr>
      <w:r w:rsidRPr="00B4285D">
        <w:rPr>
          <w:sz w:val="20"/>
        </w:rPr>
        <w:t>Prognostický panel Č</w:t>
      </w:r>
      <w:r w:rsidR="002511A0" w:rsidRPr="00B4285D">
        <w:rPr>
          <w:sz w:val="20"/>
        </w:rPr>
        <w:t xml:space="preserve">BA </w:t>
      </w:r>
      <w:r w:rsidRPr="00B4285D">
        <w:rPr>
          <w:sz w:val="20"/>
        </w:rPr>
        <w:t xml:space="preserve">odhaduje </w:t>
      </w:r>
      <w:r w:rsidR="002511A0" w:rsidRPr="00B4285D">
        <w:rPr>
          <w:sz w:val="20"/>
        </w:rPr>
        <w:t xml:space="preserve">schodek veřejných financí </w:t>
      </w:r>
      <w:r w:rsidR="00663D34" w:rsidRPr="00B4285D">
        <w:rPr>
          <w:sz w:val="20"/>
        </w:rPr>
        <w:t xml:space="preserve">jako celku za loňský rok </w:t>
      </w:r>
      <w:r w:rsidR="002511A0" w:rsidRPr="00B4285D">
        <w:rPr>
          <w:sz w:val="20"/>
        </w:rPr>
        <w:t xml:space="preserve">na </w:t>
      </w:r>
      <w:r w:rsidR="00663D34" w:rsidRPr="00B4285D">
        <w:rPr>
          <w:sz w:val="20"/>
        </w:rPr>
        <w:t>6,</w:t>
      </w:r>
      <w:r w:rsidR="005C7415" w:rsidRPr="00B4285D">
        <w:rPr>
          <w:sz w:val="20"/>
        </w:rPr>
        <w:t>5</w:t>
      </w:r>
      <w:r w:rsidR="002511A0" w:rsidRPr="00B4285D">
        <w:rPr>
          <w:sz w:val="20"/>
        </w:rPr>
        <w:t xml:space="preserve"> % HDP</w:t>
      </w:r>
      <w:r w:rsidR="00663D34" w:rsidRPr="00B4285D">
        <w:rPr>
          <w:sz w:val="20"/>
        </w:rPr>
        <w:t>.</w:t>
      </w:r>
      <w:r w:rsidRPr="00B4285D">
        <w:rPr>
          <w:sz w:val="20"/>
        </w:rPr>
        <w:t xml:space="preserve"> </w:t>
      </w:r>
      <w:r w:rsidR="00663D34" w:rsidRPr="00B4285D">
        <w:rPr>
          <w:sz w:val="20"/>
        </w:rPr>
        <w:t xml:space="preserve">Pro </w:t>
      </w:r>
      <w:r w:rsidRPr="00B4285D">
        <w:rPr>
          <w:sz w:val="20"/>
        </w:rPr>
        <w:t xml:space="preserve">volební </w:t>
      </w:r>
      <w:r w:rsidR="00663D34" w:rsidRPr="00B4285D">
        <w:rPr>
          <w:sz w:val="20"/>
        </w:rPr>
        <w:t xml:space="preserve">rok 2021, </w:t>
      </w:r>
      <w:r w:rsidR="00E11110" w:rsidRPr="00B4285D">
        <w:rPr>
          <w:sz w:val="20"/>
        </w:rPr>
        <w:t>po započteném odhadovaném</w:t>
      </w:r>
      <w:r w:rsidR="00663D34" w:rsidRPr="00B4285D">
        <w:rPr>
          <w:sz w:val="20"/>
        </w:rPr>
        <w:t xml:space="preserve"> dopad</w:t>
      </w:r>
      <w:r w:rsidR="00E11110" w:rsidRPr="00B4285D">
        <w:rPr>
          <w:sz w:val="20"/>
        </w:rPr>
        <w:t>u</w:t>
      </w:r>
      <w:r w:rsidR="00663D34" w:rsidRPr="00B4285D">
        <w:rPr>
          <w:sz w:val="20"/>
        </w:rPr>
        <w:t xml:space="preserve"> </w:t>
      </w:r>
      <w:r w:rsidRPr="00B4285D">
        <w:rPr>
          <w:sz w:val="20"/>
        </w:rPr>
        <w:t xml:space="preserve">schválených </w:t>
      </w:r>
      <w:r w:rsidR="00663D34" w:rsidRPr="00B4285D">
        <w:rPr>
          <w:sz w:val="20"/>
        </w:rPr>
        <w:t>daňových změn</w:t>
      </w:r>
      <w:r w:rsidRPr="00B4285D">
        <w:rPr>
          <w:sz w:val="20"/>
        </w:rPr>
        <w:t>, bude</w:t>
      </w:r>
      <w:r w:rsidR="00663D34" w:rsidRPr="00B4285D">
        <w:rPr>
          <w:sz w:val="20"/>
        </w:rPr>
        <w:t xml:space="preserve"> </w:t>
      </w:r>
      <w:r w:rsidRPr="00B4285D">
        <w:rPr>
          <w:sz w:val="20"/>
        </w:rPr>
        <w:t xml:space="preserve">schodek ještě vyšší a dosáhne </w:t>
      </w:r>
      <w:r w:rsidR="005C7415" w:rsidRPr="00B4285D">
        <w:rPr>
          <w:sz w:val="20"/>
        </w:rPr>
        <w:t>min. 6,9</w:t>
      </w:r>
      <w:r w:rsidRPr="00B4285D">
        <w:rPr>
          <w:sz w:val="20"/>
        </w:rPr>
        <w:t xml:space="preserve"> % HDP. Dopad razantního výpadku příjmů bez přijetí adekvátních opatření na výdajové straně pak ani v roce 2022, kdy očekáváme pokračování a zesílení hospodářského oživení, neumožní návrat k rozpočtově vyrovnanému hospodaření</w:t>
      </w:r>
      <w:r w:rsidR="00E11110" w:rsidRPr="00B4285D">
        <w:rPr>
          <w:sz w:val="20"/>
        </w:rPr>
        <w:t>. Příští</w:t>
      </w:r>
      <w:r w:rsidRPr="00B4285D">
        <w:rPr>
          <w:sz w:val="20"/>
        </w:rPr>
        <w:t xml:space="preserve"> rok</w:t>
      </w:r>
      <w:r w:rsidR="00E11110" w:rsidRPr="00B4285D">
        <w:rPr>
          <w:sz w:val="20"/>
        </w:rPr>
        <w:t xml:space="preserve"> tak</w:t>
      </w:r>
      <w:r w:rsidRPr="00B4285D">
        <w:rPr>
          <w:sz w:val="20"/>
        </w:rPr>
        <w:t xml:space="preserve"> zakončí veřejné finance stále vysokým schodkem kolem </w:t>
      </w:r>
      <w:r w:rsidR="005C7415" w:rsidRPr="00B4285D">
        <w:rPr>
          <w:sz w:val="20"/>
        </w:rPr>
        <w:t>4,1</w:t>
      </w:r>
      <w:r w:rsidRPr="00B4285D">
        <w:rPr>
          <w:sz w:val="20"/>
        </w:rPr>
        <w:t xml:space="preserve"> % HDP. </w:t>
      </w:r>
      <w:r w:rsidR="00E11110" w:rsidRPr="00B4285D">
        <w:rPr>
          <w:sz w:val="20"/>
        </w:rPr>
        <w:t>V</w:t>
      </w:r>
      <w:r w:rsidR="002511A0" w:rsidRPr="00B4285D">
        <w:rPr>
          <w:sz w:val="20"/>
        </w:rPr>
        <w:t>eřejný dluh</w:t>
      </w:r>
      <w:r w:rsidR="005C7415" w:rsidRPr="00B4285D">
        <w:rPr>
          <w:sz w:val="20"/>
        </w:rPr>
        <w:t xml:space="preserve"> </w:t>
      </w:r>
      <w:r w:rsidR="00E11110" w:rsidRPr="00B4285D">
        <w:rPr>
          <w:sz w:val="20"/>
        </w:rPr>
        <w:t xml:space="preserve">by se tak vyšplhal </w:t>
      </w:r>
      <w:r w:rsidR="005C7415" w:rsidRPr="00B4285D">
        <w:rPr>
          <w:sz w:val="20"/>
        </w:rPr>
        <w:t xml:space="preserve">z loňských 37,7 % </w:t>
      </w:r>
      <w:r w:rsidR="002511A0" w:rsidRPr="00B4285D">
        <w:rPr>
          <w:sz w:val="20"/>
        </w:rPr>
        <w:t>na</w:t>
      </w:r>
      <w:r w:rsidR="00E11110" w:rsidRPr="00B4285D">
        <w:rPr>
          <w:sz w:val="20"/>
        </w:rPr>
        <w:t xml:space="preserve"> letošních</w:t>
      </w:r>
      <w:r w:rsidR="002511A0" w:rsidRPr="00B4285D">
        <w:rPr>
          <w:sz w:val="20"/>
        </w:rPr>
        <w:t xml:space="preserve"> </w:t>
      </w:r>
      <w:r w:rsidRPr="00B4285D">
        <w:rPr>
          <w:sz w:val="20"/>
        </w:rPr>
        <w:t>4</w:t>
      </w:r>
      <w:r w:rsidR="005C7415" w:rsidRPr="00B4285D">
        <w:rPr>
          <w:sz w:val="20"/>
        </w:rPr>
        <w:t>3,3</w:t>
      </w:r>
      <w:r w:rsidR="002511A0" w:rsidRPr="00B4285D">
        <w:rPr>
          <w:sz w:val="20"/>
        </w:rPr>
        <w:t xml:space="preserve"> % </w:t>
      </w:r>
      <w:r w:rsidR="00E11110" w:rsidRPr="00B4285D">
        <w:rPr>
          <w:sz w:val="20"/>
        </w:rPr>
        <w:t xml:space="preserve">a </w:t>
      </w:r>
      <w:r w:rsidR="006146A8" w:rsidRPr="00B4285D">
        <w:rPr>
          <w:sz w:val="20"/>
        </w:rPr>
        <w:t>na</w:t>
      </w:r>
      <w:r w:rsidR="002511A0" w:rsidRPr="00B4285D">
        <w:rPr>
          <w:sz w:val="20"/>
        </w:rPr>
        <w:t xml:space="preserve"> 4</w:t>
      </w:r>
      <w:r w:rsidR="005C7415" w:rsidRPr="00B4285D">
        <w:rPr>
          <w:sz w:val="20"/>
        </w:rPr>
        <w:t>5,1</w:t>
      </w:r>
      <w:r w:rsidR="002511A0" w:rsidRPr="00B4285D">
        <w:rPr>
          <w:sz w:val="20"/>
        </w:rPr>
        <w:t xml:space="preserve"> % HDP</w:t>
      </w:r>
      <w:r w:rsidR="00CA0CF8">
        <w:rPr>
          <w:sz w:val="20"/>
        </w:rPr>
        <w:t xml:space="preserve"> v roce příštím, t</w:t>
      </w:r>
      <w:r w:rsidR="007642B3" w:rsidRPr="00B4285D">
        <w:rPr>
          <w:sz w:val="20"/>
        </w:rPr>
        <w:t>akže by</w:t>
      </w:r>
      <w:r w:rsidR="00E11110" w:rsidRPr="00B4285D">
        <w:rPr>
          <w:sz w:val="20"/>
        </w:rPr>
        <w:t xml:space="preserve"> se dále</w:t>
      </w:r>
      <w:r w:rsidRPr="00B4285D">
        <w:rPr>
          <w:sz w:val="20"/>
        </w:rPr>
        <w:t xml:space="preserve"> přiblížil k relativně měkké dluhové brzdě stanovené </w:t>
      </w:r>
      <w:r w:rsidR="00E11110" w:rsidRPr="00B4285D">
        <w:rPr>
          <w:sz w:val="20"/>
        </w:rPr>
        <w:t xml:space="preserve">zákonem o rozpočtové odpovědnosti </w:t>
      </w:r>
      <w:r w:rsidRPr="00B4285D">
        <w:rPr>
          <w:sz w:val="20"/>
        </w:rPr>
        <w:t>na 55 %</w:t>
      </w:r>
      <w:r w:rsidR="007642B3" w:rsidRPr="00B4285D">
        <w:rPr>
          <w:sz w:val="20"/>
        </w:rPr>
        <w:t xml:space="preserve"> HDP</w:t>
      </w:r>
      <w:r w:rsidRPr="00B4285D">
        <w:rPr>
          <w:sz w:val="20"/>
        </w:rPr>
        <w:t xml:space="preserve">. </w:t>
      </w:r>
    </w:p>
    <w:p w14:paraId="5B0B104F" w14:textId="77777777" w:rsidR="007C5704" w:rsidRPr="00B4285D" w:rsidRDefault="007C5704" w:rsidP="00B4285D">
      <w:pPr>
        <w:rPr>
          <w:sz w:val="20"/>
        </w:rPr>
      </w:pPr>
    </w:p>
    <w:p w14:paraId="6EB0466B" w14:textId="2563C21C" w:rsidR="004F4A74" w:rsidRDefault="003123D0" w:rsidP="00AB24BA">
      <w:pPr>
        <w:rPr>
          <w:noProof/>
          <w:sz w:val="20"/>
        </w:rPr>
      </w:pPr>
      <w:r w:rsidRPr="00C15C17">
        <w:rPr>
          <w:noProof/>
          <w:sz w:val="20"/>
        </w:rPr>
        <mc:AlternateContent>
          <mc:Choice Requires="wps">
            <w:drawing>
              <wp:anchor distT="45720" distB="45720" distL="114300" distR="114300" simplePos="0" relativeHeight="251655168" behindDoc="0" locked="0" layoutInCell="1" allowOverlap="1" wp14:anchorId="0112D530" wp14:editId="7202F2A7">
                <wp:simplePos x="0" y="0"/>
                <wp:positionH relativeFrom="column">
                  <wp:posOffset>2540</wp:posOffset>
                </wp:positionH>
                <wp:positionV relativeFrom="paragraph">
                  <wp:posOffset>764503</wp:posOffset>
                </wp:positionV>
                <wp:extent cx="6457950" cy="552450"/>
                <wp:effectExtent l="0" t="0" r="19050" b="1905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52450"/>
                        </a:xfrm>
                        <a:prstGeom prst="rect">
                          <a:avLst/>
                        </a:prstGeom>
                        <a:solidFill>
                          <a:srgbClr val="FFFFFF"/>
                        </a:solidFill>
                        <a:ln w="9525">
                          <a:solidFill>
                            <a:srgbClr val="000000"/>
                          </a:solidFill>
                          <a:miter lim="800000"/>
                          <a:headEnd/>
                          <a:tailEnd/>
                        </a:ln>
                      </wps:spPr>
                      <wps:txbx>
                        <w:txbxContent>
                          <w:p w14:paraId="5A6E01F3" w14:textId="7D786463" w:rsidR="00C15C17" w:rsidRPr="00B4285D" w:rsidRDefault="00C15C17" w:rsidP="00C15C17">
                            <w:pPr>
                              <w:rPr>
                                <w:sz w:val="20"/>
                              </w:rPr>
                            </w:pPr>
                            <w:r w:rsidRPr="00C15C17">
                              <w:rPr>
                                <w:b/>
                                <w:bCs/>
                                <w:sz w:val="20"/>
                              </w:rPr>
                              <w:t>Michal Skořepa</w:t>
                            </w:r>
                            <w:r w:rsidRPr="00C15C17">
                              <w:rPr>
                                <w:sz w:val="20"/>
                              </w:rPr>
                              <w:t xml:space="preserve">, </w:t>
                            </w:r>
                            <w:r w:rsidR="00F869D5">
                              <w:rPr>
                                <w:sz w:val="20"/>
                              </w:rPr>
                              <w:t>ekonom</w:t>
                            </w:r>
                            <w:r w:rsidRPr="00C15C17">
                              <w:rPr>
                                <w:sz w:val="20"/>
                              </w:rPr>
                              <w:t xml:space="preserve"> České spořitelny</w:t>
                            </w:r>
                            <w:r>
                              <w:rPr>
                                <w:sz w:val="20"/>
                              </w:rPr>
                              <w:t>:</w:t>
                            </w:r>
                          </w:p>
                          <w:p w14:paraId="536AD08D" w14:textId="08681C89" w:rsidR="00C15C17" w:rsidRPr="00C2568B" w:rsidRDefault="00C15C17" w:rsidP="00C15C17">
                            <w:pPr>
                              <w:rPr>
                                <w:rFonts w:ascii="Times New Roman" w:hAnsi="Times New Roman"/>
                                <w:sz w:val="24"/>
                              </w:rPr>
                            </w:pPr>
                            <w:r w:rsidRPr="00C15C17">
                              <w:rPr>
                                <w:i/>
                                <w:iCs/>
                                <w:sz w:val="20"/>
                              </w:rPr>
                              <w:t>"Loni na podzim poslancům distribuovaný materiál Ministerstva financí ČR nazvaný „Konsolidační strategie“</w:t>
                            </w:r>
                            <w:r w:rsidR="00C2568B" w:rsidRPr="00C2568B">
                              <w:rPr>
                                <w:color w:val="FF0000"/>
                              </w:rPr>
                              <w:t xml:space="preserve"> </w:t>
                            </w:r>
                            <w:r w:rsidR="00C2568B" w:rsidRPr="00C2568B">
                              <w:rPr>
                                <w:i/>
                                <w:iCs/>
                                <w:sz w:val="20"/>
                              </w:rPr>
                              <w:t>nemá parametry věrohodného plánu konsolidace, a snad i proto dodnes nedošlo k jeho řádnému zveřejnění</w:t>
                            </w:r>
                            <w:r w:rsidRPr="00C15C17">
                              <w:rPr>
                                <w:i/>
                                <w:iCs/>
                                <w:sz w:val="20"/>
                              </w:rPr>
                              <w:t>."</w:t>
                            </w:r>
                          </w:p>
                          <w:p w14:paraId="58B40DB9" w14:textId="77777777" w:rsidR="00C15C17" w:rsidRDefault="00C15C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2D530" id="_x0000_t202" coordsize="21600,21600" o:spt="202" path="m,l,21600r21600,l21600,xe">
                <v:stroke joinstyle="miter"/>
                <v:path gradientshapeok="t" o:connecttype="rect"/>
              </v:shapetype>
              <v:shape id="_x0000_s1029" type="#_x0000_t202" style="position:absolute;left:0;text-align:left;margin-left:.2pt;margin-top:60.2pt;width:508.5pt;height:4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">
                <v:textbox>
                  <w:txbxContent>
                    <w:p w14:paraId="5A6E01F3" w14:textId="7D786463" w:rsidR="00C15C17" w:rsidRPr="00B4285D" w:rsidRDefault="00C15C17" w:rsidP="00C15C17">
                      <w:pPr>
                        <w:rPr>
                          <w:sz w:val="20"/>
                        </w:rPr>
                      </w:pPr>
                      <w:r w:rsidRPr="00C15C17">
                        <w:rPr>
                          <w:b/>
                          <w:bCs/>
                          <w:sz w:val="20"/>
                        </w:rPr>
                        <w:t>Michal Skořepa</w:t>
                      </w:r>
                      <w:r w:rsidRPr="00C15C17">
                        <w:rPr>
                          <w:sz w:val="20"/>
                        </w:rPr>
                        <w:t xml:space="preserve">, </w:t>
                      </w:r>
                      <w:r w:rsidR="00F869D5">
                        <w:rPr>
                          <w:sz w:val="20"/>
                        </w:rPr>
                        <w:t>ekonom</w:t>
                      </w:r>
                      <w:r w:rsidRPr="00C15C17">
                        <w:rPr>
                          <w:sz w:val="20"/>
                        </w:rPr>
                        <w:t xml:space="preserve"> České spořitelny</w:t>
                      </w:r>
                      <w:r>
                        <w:rPr>
                          <w:sz w:val="20"/>
                        </w:rPr>
                        <w:t>:</w:t>
                      </w:r>
                    </w:p>
                    <w:p w14:paraId="536AD08D" w14:textId="08681C89" w:rsidR="00C15C17" w:rsidRPr="00C2568B" w:rsidRDefault="00C15C17" w:rsidP="00C15C17">
                      <w:pPr>
                        <w:rPr>
                          <w:rFonts w:ascii="Times New Roman" w:hAnsi="Times New Roman"/>
                          <w:sz w:val="24"/>
                        </w:rPr>
                      </w:pPr>
                      <w:r w:rsidRPr="00C15C17">
                        <w:rPr>
                          <w:i/>
                          <w:iCs/>
                          <w:sz w:val="20"/>
                        </w:rPr>
                        <w:t>"Loni na podzim poslancům distribuovaný materiál Ministerstva financí ČR nazvaný „Konsolidační strategie“</w:t>
                      </w:r>
                      <w:r w:rsidR="00C2568B" w:rsidRPr="00C2568B">
                        <w:rPr>
                          <w:color w:val="FF0000"/>
                        </w:rPr>
                        <w:t xml:space="preserve"> </w:t>
                      </w:r>
                      <w:r w:rsidR="00C2568B" w:rsidRPr="00C2568B">
                        <w:rPr>
                          <w:i/>
                          <w:iCs/>
                          <w:sz w:val="20"/>
                        </w:rPr>
                        <w:t>nemá parametry věrohodného plánu konsolidace, a snad i proto dodnes nedošlo k jeho řádnému zveřejnění</w:t>
                      </w:r>
                      <w:r w:rsidRPr="00C15C17">
                        <w:rPr>
                          <w:i/>
                          <w:iCs/>
                          <w:sz w:val="20"/>
                        </w:rPr>
                        <w:t>."</w:t>
                      </w:r>
                    </w:p>
                    <w:p w14:paraId="58B40DB9" w14:textId="77777777" w:rsidR="00C15C17" w:rsidRDefault="00C15C17"/>
                  </w:txbxContent>
                </v:textbox>
                <w10:wrap type="square"/>
              </v:shape>
            </w:pict>
          </mc:Fallback>
        </mc:AlternateContent>
      </w:r>
      <w:r w:rsidR="00CA0CF8" w:rsidRPr="00B4285D">
        <w:rPr>
          <w:sz w:val="20"/>
        </w:rPr>
        <w:t xml:space="preserve">Přestože ve srovnání s řadou států EU </w:t>
      </w:r>
      <w:r w:rsidR="00CA0CF8" w:rsidRPr="00B4285D">
        <w:rPr>
          <w:i/>
          <w:sz w:val="20"/>
        </w:rPr>
        <w:t>zatím</w:t>
      </w:r>
      <w:r w:rsidR="00CA0CF8" w:rsidRPr="00B4285D">
        <w:rPr>
          <w:sz w:val="20"/>
        </w:rPr>
        <w:t xml:space="preserve"> patříme ve fiskální oblasti mezi premianty, rozsah zadlužení českého státu se rychle zhoršuje.</w:t>
      </w:r>
      <w:r w:rsidR="00CA0CF8">
        <w:rPr>
          <w:sz w:val="20"/>
        </w:rPr>
        <w:t xml:space="preserve"> </w:t>
      </w:r>
      <w:r w:rsidR="00CA0CF8" w:rsidRPr="003366D7">
        <w:rPr>
          <w:sz w:val="20"/>
        </w:rPr>
        <w:t>Je zřejmé, že n</w:t>
      </w:r>
      <w:r w:rsidR="007642B3" w:rsidRPr="003366D7">
        <w:rPr>
          <w:sz w:val="20"/>
        </w:rPr>
        <w:t>edávné</w:t>
      </w:r>
      <w:r w:rsidR="008910AF" w:rsidRPr="003366D7">
        <w:rPr>
          <w:sz w:val="20"/>
        </w:rPr>
        <w:t xml:space="preserve"> přijetí daňového balíčku</w:t>
      </w:r>
      <w:r w:rsidR="00AB24BA" w:rsidRPr="003366D7">
        <w:rPr>
          <w:sz w:val="20"/>
        </w:rPr>
        <w:t>, který nebyl vhodně zacílen, se jeví z hlediska potřeby budoucí konsolidace</w:t>
      </w:r>
      <w:r w:rsidR="00AB24BA" w:rsidRPr="003366D7">
        <w:rPr>
          <w:noProof/>
          <w:sz w:val="20"/>
        </w:rPr>
        <w:t xml:space="preserve"> veřejných financí jako kontraproduktivní.</w:t>
      </w:r>
      <w:r w:rsidR="00CA0CF8" w:rsidRPr="003366D7">
        <w:rPr>
          <w:noProof/>
          <w:sz w:val="20"/>
        </w:rPr>
        <w:t xml:space="preserve"> Krom toho </w:t>
      </w:r>
      <w:r w:rsidR="00AB24BA" w:rsidRPr="003366D7">
        <w:rPr>
          <w:noProof/>
          <w:sz w:val="20"/>
        </w:rPr>
        <w:t xml:space="preserve">reálný plán </w:t>
      </w:r>
      <w:r w:rsidR="00CA0CF8" w:rsidRPr="003366D7">
        <w:rPr>
          <w:noProof/>
          <w:sz w:val="20"/>
        </w:rPr>
        <w:t xml:space="preserve">konsolidace </w:t>
      </w:r>
      <w:r w:rsidR="00AB24BA" w:rsidRPr="003366D7">
        <w:rPr>
          <w:noProof/>
          <w:sz w:val="20"/>
        </w:rPr>
        <w:t xml:space="preserve">zatím </w:t>
      </w:r>
      <w:r w:rsidR="00CA0CF8" w:rsidRPr="003366D7">
        <w:rPr>
          <w:noProof/>
          <w:sz w:val="20"/>
        </w:rPr>
        <w:t xml:space="preserve">ani </w:t>
      </w:r>
      <w:r w:rsidR="00AB24BA" w:rsidRPr="003366D7">
        <w:rPr>
          <w:noProof/>
          <w:sz w:val="20"/>
        </w:rPr>
        <w:t>neexistuje</w:t>
      </w:r>
      <w:r w:rsidR="00CA0CF8" w:rsidRPr="003366D7">
        <w:rPr>
          <w:noProof/>
          <w:sz w:val="20"/>
        </w:rPr>
        <w:t xml:space="preserve">. </w:t>
      </w:r>
    </w:p>
    <w:p w14:paraId="6B6D525D" w14:textId="644E280F" w:rsidR="00C15C17" w:rsidRDefault="00C15C17" w:rsidP="00AB24BA">
      <w:pPr>
        <w:rPr>
          <w:noProof/>
          <w:sz w:val="20"/>
        </w:rPr>
      </w:pPr>
    </w:p>
    <w:p w14:paraId="3F0AE74A" w14:textId="5D94B101" w:rsidR="006648C4" w:rsidRPr="00B4285D" w:rsidRDefault="00DF7A07" w:rsidP="00B4285D">
      <w:pPr>
        <w:rPr>
          <w:sz w:val="20"/>
        </w:rPr>
      </w:pPr>
      <w:r w:rsidRPr="00B4285D">
        <w:rPr>
          <w:sz w:val="20"/>
        </w:rPr>
        <w:t>N</w:t>
      </w:r>
      <w:r w:rsidR="008910AF" w:rsidRPr="00B4285D">
        <w:rPr>
          <w:sz w:val="20"/>
        </w:rPr>
        <w:t>áraz</w:t>
      </w:r>
      <w:r w:rsidR="006648C4" w:rsidRPr="00B4285D">
        <w:rPr>
          <w:sz w:val="20"/>
        </w:rPr>
        <w:t xml:space="preserve"> na dluhovou brzdu</w:t>
      </w:r>
      <w:r w:rsidR="00CA0CF8">
        <w:rPr>
          <w:sz w:val="20"/>
        </w:rPr>
        <w:t xml:space="preserve"> </w:t>
      </w:r>
      <w:r w:rsidR="00CA0CF8" w:rsidRPr="003366D7">
        <w:rPr>
          <w:sz w:val="20"/>
        </w:rPr>
        <w:t>navíc</w:t>
      </w:r>
      <w:r w:rsidR="00CA0CF8">
        <w:rPr>
          <w:sz w:val="20"/>
        </w:rPr>
        <w:t xml:space="preserve"> </w:t>
      </w:r>
      <w:r w:rsidR="006648C4" w:rsidRPr="00B4285D">
        <w:rPr>
          <w:sz w:val="20"/>
        </w:rPr>
        <w:t xml:space="preserve">hrozí v situaci, kdy by naopak bylo potřeba </w:t>
      </w:r>
      <w:r w:rsidR="008910AF" w:rsidRPr="00B4285D">
        <w:rPr>
          <w:sz w:val="20"/>
        </w:rPr>
        <w:t xml:space="preserve">konečně realizovat desetiletí odkládanou reformu </w:t>
      </w:r>
      <w:r w:rsidR="007642B3" w:rsidRPr="00B4285D">
        <w:rPr>
          <w:sz w:val="20"/>
        </w:rPr>
        <w:t xml:space="preserve">penzijního systému </w:t>
      </w:r>
      <w:r w:rsidR="008910AF" w:rsidRPr="00B4285D">
        <w:rPr>
          <w:sz w:val="20"/>
        </w:rPr>
        <w:t xml:space="preserve">a financování zdravotní péče. Ačkoli </w:t>
      </w:r>
      <w:r w:rsidRPr="00B4285D">
        <w:rPr>
          <w:sz w:val="20"/>
        </w:rPr>
        <w:t>t</w:t>
      </w:r>
      <w:r w:rsidR="007642B3" w:rsidRPr="00B4285D">
        <w:rPr>
          <w:sz w:val="20"/>
        </w:rPr>
        <w:t>é</w:t>
      </w:r>
      <w:r w:rsidRPr="00B4285D">
        <w:rPr>
          <w:sz w:val="20"/>
        </w:rPr>
        <w:t xml:space="preserve">ze </w:t>
      </w:r>
      <w:r w:rsidR="008910AF" w:rsidRPr="00B4285D">
        <w:rPr>
          <w:sz w:val="20"/>
        </w:rPr>
        <w:t xml:space="preserve">o hrozící neudržitelnosti veřejných financí zní už pomalu jako klišé, je apel na urychlené přijetí plánu </w:t>
      </w:r>
      <w:r w:rsidR="005C7415" w:rsidRPr="00B4285D">
        <w:rPr>
          <w:sz w:val="20"/>
        </w:rPr>
        <w:t xml:space="preserve">jejich </w:t>
      </w:r>
      <w:r w:rsidR="008910AF" w:rsidRPr="00B4285D">
        <w:rPr>
          <w:sz w:val="20"/>
        </w:rPr>
        <w:t>konsolidace čím dál naléhavější. Změní-li</w:t>
      </w:r>
      <w:r w:rsidR="007642B3" w:rsidRPr="00B4285D">
        <w:rPr>
          <w:sz w:val="20"/>
        </w:rPr>
        <w:t xml:space="preserve"> se</w:t>
      </w:r>
      <w:r w:rsidR="008910AF" w:rsidRPr="00B4285D">
        <w:rPr>
          <w:sz w:val="20"/>
        </w:rPr>
        <w:t xml:space="preserve"> sentiment investorů </w:t>
      </w:r>
      <w:r w:rsidR="007642B3" w:rsidRPr="00B4285D">
        <w:rPr>
          <w:sz w:val="20"/>
        </w:rPr>
        <w:t>(což může nastat i při nezměněném</w:t>
      </w:r>
      <w:r w:rsidR="008910AF" w:rsidRPr="00B4285D">
        <w:rPr>
          <w:sz w:val="20"/>
        </w:rPr>
        <w:t> ratingu ČR</w:t>
      </w:r>
      <w:r w:rsidR="007642B3" w:rsidRPr="00B4285D">
        <w:rPr>
          <w:sz w:val="20"/>
        </w:rPr>
        <w:t>)</w:t>
      </w:r>
      <w:r w:rsidR="008910AF" w:rsidRPr="00B4285D">
        <w:rPr>
          <w:sz w:val="20"/>
        </w:rPr>
        <w:t xml:space="preserve"> dříve než bude odpovídající plán přijat, </w:t>
      </w:r>
      <w:r w:rsidR="006146A8" w:rsidRPr="00B4285D">
        <w:rPr>
          <w:sz w:val="20"/>
        </w:rPr>
        <w:t xml:space="preserve">tak </w:t>
      </w:r>
      <w:r w:rsidR="009224FC" w:rsidRPr="00B4285D">
        <w:rPr>
          <w:sz w:val="20"/>
        </w:rPr>
        <w:t xml:space="preserve">by </w:t>
      </w:r>
      <w:r w:rsidR="008910AF" w:rsidRPr="00B4285D">
        <w:rPr>
          <w:sz w:val="20"/>
        </w:rPr>
        <w:t xml:space="preserve">výsledné zdražení obsluhy veřejného dluhu </w:t>
      </w:r>
      <w:r w:rsidR="009224FC" w:rsidRPr="00B4285D">
        <w:rPr>
          <w:sz w:val="20"/>
        </w:rPr>
        <w:t xml:space="preserve">dále zkomplikovalo </w:t>
      </w:r>
      <w:r w:rsidR="008910AF" w:rsidRPr="00B4285D">
        <w:rPr>
          <w:sz w:val="20"/>
        </w:rPr>
        <w:t>situaci, v jaké se české veřejné finance</w:t>
      </w:r>
      <w:r w:rsidR="003366D7" w:rsidRPr="003366D7">
        <w:rPr>
          <w:sz w:val="20"/>
        </w:rPr>
        <w:t xml:space="preserve"> </w:t>
      </w:r>
      <w:r w:rsidR="003366D7" w:rsidRPr="00B4285D">
        <w:rPr>
          <w:sz w:val="20"/>
        </w:rPr>
        <w:t>nacházejí</w:t>
      </w:r>
      <w:r w:rsidR="009224FC" w:rsidRPr="00B4285D">
        <w:rPr>
          <w:sz w:val="20"/>
        </w:rPr>
        <w:t>.</w:t>
      </w:r>
    </w:p>
    <w:p w14:paraId="037A3FC3" w14:textId="77777777" w:rsidR="00893FAA" w:rsidRPr="00B4285D" w:rsidRDefault="00893FAA" w:rsidP="00B4285D">
      <w:pPr>
        <w:rPr>
          <w:sz w:val="20"/>
        </w:rPr>
      </w:pPr>
    </w:p>
    <w:p w14:paraId="55C3D391" w14:textId="060C3121" w:rsidR="006C6CFF" w:rsidRPr="00B4285D" w:rsidRDefault="002D12BD" w:rsidP="00B4285D">
      <w:pPr>
        <w:rPr>
          <w:b/>
          <w:color w:val="007E79"/>
          <w:sz w:val="20"/>
        </w:rPr>
      </w:pPr>
      <w:r w:rsidRPr="00725295">
        <w:rPr>
          <w:b/>
          <w:color w:val="007E79"/>
          <w:sz w:val="20"/>
        </w:rPr>
        <w:t>Měnová politika, inflace a měnový kurz</w:t>
      </w:r>
      <w:r w:rsidR="00125474" w:rsidRPr="00725295">
        <w:rPr>
          <w:b/>
          <w:color w:val="007E79"/>
          <w:sz w:val="20"/>
        </w:rPr>
        <w:t xml:space="preserve"> </w:t>
      </w:r>
    </w:p>
    <w:p w14:paraId="53BD0780" w14:textId="7623E94D" w:rsidR="00FE493E" w:rsidRPr="00B4285D" w:rsidRDefault="000E5E2A" w:rsidP="00B4285D">
      <w:pPr>
        <w:rPr>
          <w:sz w:val="20"/>
        </w:rPr>
      </w:pPr>
      <w:r w:rsidRPr="00B4285D">
        <w:rPr>
          <w:sz w:val="20"/>
        </w:rPr>
        <w:t xml:space="preserve">Po analytiky vesměs kladně hodnoceném uvolnění měnové politiky je na čase uvažovat o tom, jaké kroky budou adekvátní v situaci očekávaného hospodářského oživení. </w:t>
      </w:r>
      <w:r w:rsidR="007642B3" w:rsidRPr="00B4285D">
        <w:rPr>
          <w:sz w:val="20"/>
        </w:rPr>
        <w:t>Podle</w:t>
      </w:r>
      <w:r w:rsidRPr="00B4285D">
        <w:rPr>
          <w:sz w:val="20"/>
        </w:rPr>
        <w:t xml:space="preserve"> </w:t>
      </w:r>
      <w:r w:rsidR="007642B3" w:rsidRPr="00B4285D">
        <w:rPr>
          <w:sz w:val="20"/>
        </w:rPr>
        <w:t xml:space="preserve">nové prognózy </w:t>
      </w:r>
      <w:r w:rsidRPr="00B4285D">
        <w:rPr>
          <w:sz w:val="20"/>
        </w:rPr>
        <w:t xml:space="preserve">ČNB </w:t>
      </w:r>
      <w:r w:rsidR="007642B3" w:rsidRPr="00B4285D">
        <w:rPr>
          <w:sz w:val="20"/>
        </w:rPr>
        <w:t xml:space="preserve">publikované </w:t>
      </w:r>
      <w:r w:rsidRPr="00B4285D">
        <w:rPr>
          <w:sz w:val="20"/>
        </w:rPr>
        <w:t>4/2/2021</w:t>
      </w:r>
      <w:r w:rsidR="00DF7A07" w:rsidRPr="00B4285D">
        <w:rPr>
          <w:sz w:val="20"/>
        </w:rPr>
        <w:t xml:space="preserve"> </w:t>
      </w:r>
      <w:r w:rsidRPr="00B4285D">
        <w:rPr>
          <w:sz w:val="20"/>
        </w:rPr>
        <w:t>by v reakci na narůstající inflační tlaky mohlo ještě letos dojít</w:t>
      </w:r>
      <w:r w:rsidR="00E04FC0">
        <w:rPr>
          <w:sz w:val="20"/>
        </w:rPr>
        <w:t xml:space="preserve"> v závislosti na vývoji pandemie alespoň </w:t>
      </w:r>
      <w:r w:rsidRPr="00B4285D">
        <w:rPr>
          <w:sz w:val="20"/>
        </w:rPr>
        <w:t xml:space="preserve">ke </w:t>
      </w:r>
      <w:r w:rsidR="001B4FA1" w:rsidRPr="00B4285D">
        <w:rPr>
          <w:sz w:val="20"/>
        </w:rPr>
        <w:t xml:space="preserve">třem </w:t>
      </w:r>
      <w:r w:rsidRPr="00B4285D">
        <w:rPr>
          <w:sz w:val="20"/>
        </w:rPr>
        <w:t xml:space="preserve">zvýšením měnově politické sazby. </w:t>
      </w:r>
      <w:r w:rsidR="00FE493E" w:rsidRPr="00B4285D">
        <w:rPr>
          <w:sz w:val="20"/>
        </w:rPr>
        <w:t xml:space="preserve">Během krizového roku </w:t>
      </w:r>
      <w:r w:rsidR="001B4FA1" w:rsidRPr="00B4285D">
        <w:rPr>
          <w:sz w:val="20"/>
        </w:rPr>
        <w:t xml:space="preserve">2020 udržovala centrální banka </w:t>
      </w:r>
      <w:r w:rsidR="00FE493E" w:rsidRPr="00B4285D">
        <w:rPr>
          <w:sz w:val="20"/>
        </w:rPr>
        <w:t>měnovou politiku</w:t>
      </w:r>
      <w:r w:rsidR="00D520B2" w:rsidRPr="00B4285D">
        <w:rPr>
          <w:sz w:val="20"/>
        </w:rPr>
        <w:t xml:space="preserve"> </w:t>
      </w:r>
      <w:r w:rsidR="00FE493E" w:rsidRPr="00B4285D">
        <w:rPr>
          <w:sz w:val="20"/>
        </w:rPr>
        <w:t xml:space="preserve">v </w:t>
      </w:r>
      <w:r w:rsidR="00D91982" w:rsidRPr="00B4285D">
        <w:rPr>
          <w:sz w:val="20"/>
        </w:rPr>
        <w:t>uvolněném</w:t>
      </w:r>
      <w:r w:rsidR="00FE493E" w:rsidRPr="00B4285D">
        <w:rPr>
          <w:sz w:val="20"/>
        </w:rPr>
        <w:t xml:space="preserve"> módu </w:t>
      </w:r>
      <w:r w:rsidR="00D520B2" w:rsidRPr="00B4285D">
        <w:rPr>
          <w:sz w:val="20"/>
        </w:rPr>
        <w:t xml:space="preserve">navzdory inflaci, která se </w:t>
      </w:r>
      <w:r w:rsidR="007E0BF1" w:rsidRPr="00B4285D">
        <w:rPr>
          <w:sz w:val="20"/>
        </w:rPr>
        <w:t xml:space="preserve">od dubna </w:t>
      </w:r>
      <w:r w:rsidR="00D91982" w:rsidRPr="00B4285D">
        <w:rPr>
          <w:sz w:val="20"/>
        </w:rPr>
        <w:t>p</w:t>
      </w:r>
      <w:r w:rsidR="007E0BF1" w:rsidRPr="00B4285D">
        <w:rPr>
          <w:sz w:val="20"/>
        </w:rPr>
        <w:t>ohyb</w:t>
      </w:r>
      <w:r w:rsidR="00FE493E" w:rsidRPr="00B4285D">
        <w:rPr>
          <w:sz w:val="20"/>
        </w:rPr>
        <w:t>ovala</w:t>
      </w:r>
      <w:r w:rsidR="007E0BF1" w:rsidRPr="00B4285D">
        <w:rPr>
          <w:sz w:val="20"/>
        </w:rPr>
        <w:t xml:space="preserve"> nejenom</w:t>
      </w:r>
      <w:r w:rsidR="00D520B2" w:rsidRPr="00B4285D">
        <w:rPr>
          <w:sz w:val="20"/>
        </w:rPr>
        <w:t xml:space="preserve"> </w:t>
      </w:r>
      <w:r w:rsidR="007E0BF1" w:rsidRPr="00B4285D">
        <w:rPr>
          <w:sz w:val="20"/>
        </w:rPr>
        <w:t xml:space="preserve">nad inflačním cílem, ale i mírně nad </w:t>
      </w:r>
      <w:r w:rsidR="007642B3" w:rsidRPr="00B4285D">
        <w:rPr>
          <w:sz w:val="20"/>
        </w:rPr>
        <w:t xml:space="preserve">horní hranicí </w:t>
      </w:r>
      <w:r w:rsidR="007E0BF1" w:rsidRPr="00B4285D">
        <w:rPr>
          <w:sz w:val="20"/>
        </w:rPr>
        <w:t>toleranční</w:t>
      </w:r>
      <w:r w:rsidR="007642B3" w:rsidRPr="00B4285D">
        <w:rPr>
          <w:sz w:val="20"/>
        </w:rPr>
        <w:t>ho</w:t>
      </w:r>
      <w:r w:rsidR="007E0BF1" w:rsidRPr="00B4285D">
        <w:rPr>
          <w:sz w:val="20"/>
        </w:rPr>
        <w:t xml:space="preserve"> pásm</w:t>
      </w:r>
      <w:r w:rsidR="00A51840" w:rsidRPr="00B4285D">
        <w:rPr>
          <w:sz w:val="20"/>
        </w:rPr>
        <w:t xml:space="preserve">a. </w:t>
      </w:r>
      <w:r w:rsidR="00FE493E" w:rsidRPr="00B4285D">
        <w:rPr>
          <w:sz w:val="20"/>
        </w:rPr>
        <w:t>V průměru za minulý rok dosáhla</w:t>
      </w:r>
      <w:r w:rsidR="007E0BF1" w:rsidRPr="00B4285D">
        <w:rPr>
          <w:sz w:val="20"/>
        </w:rPr>
        <w:t xml:space="preserve"> </w:t>
      </w:r>
      <w:r w:rsidR="00FE493E" w:rsidRPr="00B4285D">
        <w:rPr>
          <w:sz w:val="20"/>
        </w:rPr>
        <w:t xml:space="preserve">spotřebitelská inflace </w:t>
      </w:r>
      <w:r w:rsidR="007E0BF1" w:rsidRPr="00B4285D">
        <w:rPr>
          <w:sz w:val="20"/>
        </w:rPr>
        <w:t>3,2 %</w:t>
      </w:r>
      <w:r w:rsidR="00FE493E" w:rsidRPr="00B4285D">
        <w:rPr>
          <w:sz w:val="20"/>
        </w:rPr>
        <w:t>, avšak na jeho konci poklesla v meziročním srovnání na 2,3 %</w:t>
      </w:r>
      <w:r w:rsidR="007E0BF1" w:rsidRPr="00B4285D">
        <w:rPr>
          <w:sz w:val="20"/>
        </w:rPr>
        <w:t>.</w:t>
      </w:r>
      <w:r w:rsidR="00FE493E" w:rsidRPr="00B4285D">
        <w:rPr>
          <w:sz w:val="20"/>
        </w:rPr>
        <w:t xml:space="preserve"> Pro letošní i pro příští rok očekávají hlavní ekonomové bank, že </w:t>
      </w:r>
      <w:r w:rsidR="00036DD3" w:rsidRPr="00B4285D">
        <w:rPr>
          <w:sz w:val="20"/>
        </w:rPr>
        <w:t xml:space="preserve">se nárůst spotřebitelských cen bude pohybovat v blízkosti inflačního cíle, a to </w:t>
      </w:r>
      <w:r w:rsidR="00EA5E6A" w:rsidRPr="00B4285D">
        <w:rPr>
          <w:sz w:val="20"/>
        </w:rPr>
        <w:t>na průměru kolem 2,2 % letos a 2,1 % v roce 2022.</w:t>
      </w:r>
    </w:p>
    <w:p w14:paraId="3D9F00FC" w14:textId="77777777" w:rsidR="00FE493E" w:rsidRPr="00B4285D" w:rsidRDefault="00FE493E" w:rsidP="00B4285D">
      <w:pPr>
        <w:rPr>
          <w:sz w:val="20"/>
        </w:rPr>
      </w:pPr>
    </w:p>
    <w:p w14:paraId="351B59B8" w14:textId="7112C3B1" w:rsidR="00036DD3" w:rsidRPr="00B4285D" w:rsidRDefault="00DF7A07" w:rsidP="00B4285D">
      <w:pPr>
        <w:rPr>
          <w:sz w:val="20"/>
        </w:rPr>
      </w:pPr>
      <w:r w:rsidRPr="00B4285D">
        <w:rPr>
          <w:sz w:val="20"/>
        </w:rPr>
        <w:t>Pokud jde o</w:t>
      </w:r>
      <w:r w:rsidR="00036DD3" w:rsidRPr="00B4285D">
        <w:rPr>
          <w:sz w:val="20"/>
        </w:rPr>
        <w:t xml:space="preserve"> měnově politick</w:t>
      </w:r>
      <w:r w:rsidRPr="00B4285D">
        <w:rPr>
          <w:sz w:val="20"/>
        </w:rPr>
        <w:t>ou sazbu</w:t>
      </w:r>
      <w:r w:rsidR="00036DD3" w:rsidRPr="00B4285D">
        <w:rPr>
          <w:sz w:val="20"/>
        </w:rPr>
        <w:t xml:space="preserve">, k jejímu prvnímu zvýšení dojde podle </w:t>
      </w:r>
      <w:r w:rsidRPr="00B4285D">
        <w:rPr>
          <w:sz w:val="20"/>
        </w:rPr>
        <w:t xml:space="preserve">ekonomů bank </w:t>
      </w:r>
      <w:r w:rsidR="00036DD3" w:rsidRPr="00B4285D">
        <w:rPr>
          <w:sz w:val="20"/>
        </w:rPr>
        <w:t>spíše až ve</w:t>
      </w:r>
      <w:r w:rsidR="00EA5E6A" w:rsidRPr="00B4285D">
        <w:rPr>
          <w:sz w:val="20"/>
        </w:rPr>
        <w:t xml:space="preserve"> druhé polovině letošního roku. D</w:t>
      </w:r>
      <w:r w:rsidR="00036DD3" w:rsidRPr="00B4285D">
        <w:rPr>
          <w:sz w:val="20"/>
        </w:rPr>
        <w:t>alší</w:t>
      </w:r>
      <w:r w:rsidR="006146A8" w:rsidRPr="00B4285D">
        <w:rPr>
          <w:sz w:val="20"/>
        </w:rPr>
        <w:t xml:space="preserve">, pravděpodobně </w:t>
      </w:r>
      <w:r w:rsidR="00EA5E6A" w:rsidRPr="00B4285D">
        <w:rPr>
          <w:sz w:val="20"/>
        </w:rPr>
        <w:t>dvě</w:t>
      </w:r>
      <w:r w:rsidR="00725295">
        <w:rPr>
          <w:sz w:val="20"/>
        </w:rPr>
        <w:t>,</w:t>
      </w:r>
      <w:r w:rsidR="00EA5E6A" w:rsidRPr="00B4285D">
        <w:rPr>
          <w:sz w:val="20"/>
        </w:rPr>
        <w:t xml:space="preserve"> zvýšení </w:t>
      </w:r>
      <w:r w:rsidR="00036DD3" w:rsidRPr="00B4285D">
        <w:rPr>
          <w:sz w:val="20"/>
        </w:rPr>
        <w:t xml:space="preserve">lze očekávat </w:t>
      </w:r>
      <w:r w:rsidRPr="00B4285D">
        <w:rPr>
          <w:sz w:val="20"/>
        </w:rPr>
        <w:t xml:space="preserve">buď ještě ke konci letošního roku či až v roce 2022. </w:t>
      </w:r>
      <w:r w:rsidR="00A51840" w:rsidRPr="00B4285D">
        <w:rPr>
          <w:sz w:val="20"/>
        </w:rPr>
        <w:t xml:space="preserve">Tento počátek cyklu zvyšování sazeb bude reakcí na zesilující cenové tlaky po odeznění dopadů protiepidemických opatření, které budou ještě zvýrazněny </w:t>
      </w:r>
      <w:r w:rsidR="00036DD3" w:rsidRPr="00B4285D">
        <w:rPr>
          <w:sz w:val="20"/>
        </w:rPr>
        <w:t xml:space="preserve">silným fiskálním impulsem </w:t>
      </w:r>
      <w:r w:rsidR="00907818" w:rsidRPr="00B4285D">
        <w:rPr>
          <w:sz w:val="20"/>
        </w:rPr>
        <w:t>vyvolaným zrušením superhrubé mzdy a dalšími opatřeními</w:t>
      </w:r>
      <w:r w:rsidRPr="00B4285D">
        <w:rPr>
          <w:sz w:val="20"/>
        </w:rPr>
        <w:t xml:space="preserve">, které </w:t>
      </w:r>
      <w:r w:rsidR="00907818" w:rsidRPr="00B4285D">
        <w:rPr>
          <w:sz w:val="20"/>
        </w:rPr>
        <w:t>snižují efektivní daňovou kvótu v kombinaci se stále příznivou situací na trhu práce</w:t>
      </w:r>
      <w:r w:rsidR="00725295">
        <w:rPr>
          <w:sz w:val="20"/>
        </w:rPr>
        <w:t>.</w:t>
      </w:r>
    </w:p>
    <w:p w14:paraId="754DC9C6" w14:textId="77777777" w:rsidR="00036DD3" w:rsidRPr="00B4285D" w:rsidRDefault="00036DD3" w:rsidP="00B4285D">
      <w:pPr>
        <w:rPr>
          <w:sz w:val="20"/>
        </w:rPr>
      </w:pPr>
    </w:p>
    <w:p w14:paraId="057266E2" w14:textId="145AE977" w:rsidR="00907818" w:rsidRPr="00B4285D" w:rsidRDefault="007E0BF1" w:rsidP="00B4285D">
      <w:pPr>
        <w:rPr>
          <w:sz w:val="20"/>
        </w:rPr>
      </w:pPr>
      <w:r w:rsidRPr="00B4285D">
        <w:rPr>
          <w:sz w:val="20"/>
        </w:rPr>
        <w:t xml:space="preserve">Měnový kurz </w:t>
      </w:r>
      <w:r w:rsidR="00907818" w:rsidRPr="00B4285D">
        <w:rPr>
          <w:sz w:val="20"/>
        </w:rPr>
        <w:t xml:space="preserve">po turbulentním vývoji během loňského roku ukončil rok zpevněním na hladinu mírně nad 26 Kč za EUR. Pro letošní a příští rok očekává prognóza ČBA jeho další </w:t>
      </w:r>
      <w:r w:rsidR="00EA5E6A" w:rsidRPr="00B4285D">
        <w:rPr>
          <w:sz w:val="20"/>
        </w:rPr>
        <w:t xml:space="preserve">mírné </w:t>
      </w:r>
      <w:r w:rsidR="00907818" w:rsidRPr="00B4285D">
        <w:rPr>
          <w:sz w:val="20"/>
        </w:rPr>
        <w:t xml:space="preserve">zpevňování </w:t>
      </w:r>
      <w:r w:rsidR="00A51840" w:rsidRPr="00B4285D">
        <w:rPr>
          <w:sz w:val="20"/>
        </w:rPr>
        <w:t>v řádu několika desítek haléřů</w:t>
      </w:r>
      <w:r w:rsidR="00EA5E6A" w:rsidRPr="00B4285D">
        <w:rPr>
          <w:sz w:val="20"/>
        </w:rPr>
        <w:t xml:space="preserve">. </w:t>
      </w:r>
      <w:r w:rsidR="00907818" w:rsidRPr="00B4285D">
        <w:rPr>
          <w:sz w:val="20"/>
        </w:rPr>
        <w:t>Platí zároveň, že rizika jsou vychýlena směrem dolů</w:t>
      </w:r>
      <w:r w:rsidR="00A51840" w:rsidRPr="00B4285D">
        <w:rPr>
          <w:sz w:val="20"/>
        </w:rPr>
        <w:t xml:space="preserve"> k</w:t>
      </w:r>
      <w:r w:rsidR="004551CA">
        <w:rPr>
          <w:sz w:val="20"/>
        </w:rPr>
        <w:t>e slabšímu měnovému kurzu</w:t>
      </w:r>
      <w:r w:rsidR="00663D34" w:rsidRPr="00B4285D">
        <w:rPr>
          <w:sz w:val="20"/>
        </w:rPr>
        <w:t>. N</w:t>
      </w:r>
      <w:r w:rsidR="00907818" w:rsidRPr="00B4285D">
        <w:rPr>
          <w:sz w:val="20"/>
        </w:rPr>
        <w:t>edojde-li k </w:t>
      </w:r>
      <w:r w:rsidR="00663D34" w:rsidRPr="00B4285D">
        <w:rPr>
          <w:sz w:val="20"/>
        </w:rPr>
        <w:t>netrpělivě</w:t>
      </w:r>
      <w:r w:rsidR="00907818" w:rsidRPr="00B4285D">
        <w:rPr>
          <w:sz w:val="20"/>
        </w:rPr>
        <w:t xml:space="preserve"> očekávanému</w:t>
      </w:r>
      <w:r w:rsidR="00663D34" w:rsidRPr="00B4285D">
        <w:rPr>
          <w:sz w:val="20"/>
        </w:rPr>
        <w:t xml:space="preserve"> zlepšení </w:t>
      </w:r>
      <w:r w:rsidR="00A51840" w:rsidRPr="00B4285D">
        <w:rPr>
          <w:sz w:val="20"/>
        </w:rPr>
        <w:t xml:space="preserve">zdravotní situace </w:t>
      </w:r>
      <w:r w:rsidR="00663D34" w:rsidRPr="00B4285D">
        <w:rPr>
          <w:sz w:val="20"/>
        </w:rPr>
        <w:t>a</w:t>
      </w:r>
      <w:r w:rsidR="004E3A25" w:rsidRPr="00B4285D">
        <w:rPr>
          <w:sz w:val="20"/>
        </w:rPr>
        <w:t>,</w:t>
      </w:r>
      <w:r w:rsidR="00663D34" w:rsidRPr="00B4285D">
        <w:rPr>
          <w:sz w:val="20"/>
        </w:rPr>
        <w:t xml:space="preserve"> v návaznosti na kvalitně organizovanou vakcinaci</w:t>
      </w:r>
      <w:r w:rsidR="00725295">
        <w:rPr>
          <w:sz w:val="20"/>
        </w:rPr>
        <w:t>,</w:t>
      </w:r>
      <w:r w:rsidR="00A51840" w:rsidRPr="00B4285D">
        <w:rPr>
          <w:sz w:val="20"/>
        </w:rPr>
        <w:t xml:space="preserve"> k </w:t>
      </w:r>
      <w:r w:rsidR="00663D34" w:rsidRPr="00B4285D">
        <w:rPr>
          <w:sz w:val="20"/>
        </w:rPr>
        <w:t xml:space="preserve">finálnímu odeznění epidemie, může se sentiment finančních trhů znovu obrátit proti měnám nejhůře zasažených zemí, mezi </w:t>
      </w:r>
      <w:r w:rsidR="003366D7">
        <w:rPr>
          <w:sz w:val="20"/>
        </w:rPr>
        <w:t>něž</w:t>
      </w:r>
      <w:r w:rsidR="00663D34" w:rsidRPr="00B4285D">
        <w:rPr>
          <w:sz w:val="20"/>
        </w:rPr>
        <w:t xml:space="preserve"> </w:t>
      </w:r>
      <w:r w:rsidR="00663D34" w:rsidRPr="00B4285D">
        <w:rPr>
          <w:sz w:val="20"/>
        </w:rPr>
        <w:lastRenderedPageBreak/>
        <w:t>v současnosti Česko patří</w:t>
      </w:r>
      <w:r w:rsidR="003366D7">
        <w:rPr>
          <w:sz w:val="20"/>
        </w:rPr>
        <w:t>, a koruna může oslabit</w:t>
      </w:r>
      <w:r w:rsidR="00663D34" w:rsidRPr="00B4285D">
        <w:rPr>
          <w:sz w:val="20"/>
        </w:rPr>
        <w:t>. Obdobně to platí i pro očekávané přitvrzení měnové politiky, které by v případě přetrvávajících restriktivních opatření bylo nejspíše daleko pomalejší. Míra nejistoty je tak i nadále nezvykle vysoká.</w:t>
      </w:r>
    </w:p>
    <w:p w14:paraId="265EB6EC" w14:textId="77777777" w:rsidR="00EA5E6A" w:rsidRPr="00725295" w:rsidRDefault="00EA5E6A" w:rsidP="00B4285D">
      <w:pPr>
        <w:rPr>
          <w:b/>
          <w:color w:val="007E79"/>
          <w:sz w:val="20"/>
        </w:rPr>
      </w:pPr>
    </w:p>
    <w:p w14:paraId="6A2F513C" w14:textId="77777777" w:rsidR="002D12BD" w:rsidRPr="00B4285D" w:rsidRDefault="002D12BD" w:rsidP="00B4285D">
      <w:pPr>
        <w:rPr>
          <w:b/>
          <w:color w:val="007E79"/>
          <w:sz w:val="20"/>
        </w:rPr>
      </w:pPr>
      <w:r w:rsidRPr="00B4285D">
        <w:rPr>
          <w:b/>
          <w:color w:val="007E79"/>
          <w:sz w:val="20"/>
        </w:rPr>
        <w:t>Očekávaný vývoj vkladů a úvěrové emise</w:t>
      </w:r>
    </w:p>
    <w:p w14:paraId="408BF60B" w14:textId="16878417" w:rsidR="003123D0" w:rsidRDefault="003123D0" w:rsidP="00B4285D">
      <w:pPr>
        <w:rPr>
          <w:sz w:val="20"/>
        </w:rPr>
      </w:pPr>
      <w:r w:rsidRPr="00C15C17">
        <w:rPr>
          <w:noProof/>
          <w:sz w:val="20"/>
        </w:rPr>
        <mc:AlternateContent>
          <mc:Choice Requires="wps">
            <w:drawing>
              <wp:anchor distT="45720" distB="45720" distL="114300" distR="114300" simplePos="0" relativeHeight="251658240" behindDoc="0" locked="0" layoutInCell="1" allowOverlap="1" wp14:anchorId="2673DCAC" wp14:editId="192E8B9D">
                <wp:simplePos x="0" y="0"/>
                <wp:positionH relativeFrom="column">
                  <wp:posOffset>2540</wp:posOffset>
                </wp:positionH>
                <wp:positionV relativeFrom="paragraph">
                  <wp:posOffset>1345286</wp:posOffset>
                </wp:positionV>
                <wp:extent cx="6457950" cy="552450"/>
                <wp:effectExtent l="0" t="0" r="19050" b="1905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52450"/>
                        </a:xfrm>
                        <a:prstGeom prst="rect">
                          <a:avLst/>
                        </a:prstGeom>
                        <a:solidFill>
                          <a:srgbClr val="FFFFFF"/>
                        </a:solidFill>
                        <a:ln w="9525">
                          <a:solidFill>
                            <a:srgbClr val="000000"/>
                          </a:solidFill>
                          <a:miter lim="800000"/>
                          <a:headEnd/>
                          <a:tailEnd/>
                        </a:ln>
                      </wps:spPr>
                      <wps:txbx>
                        <w:txbxContent>
                          <w:p w14:paraId="1054CF4D" w14:textId="77777777" w:rsidR="003123D0" w:rsidRPr="00B4285D" w:rsidRDefault="003123D0" w:rsidP="003123D0">
                            <w:pPr>
                              <w:rPr>
                                <w:sz w:val="20"/>
                              </w:rPr>
                            </w:pPr>
                            <w:r>
                              <w:rPr>
                                <w:b/>
                                <w:bCs/>
                                <w:sz w:val="20"/>
                              </w:rPr>
                              <w:t>Miroslav Zámečník</w:t>
                            </w:r>
                            <w:r w:rsidRPr="00C15C17">
                              <w:rPr>
                                <w:sz w:val="20"/>
                              </w:rPr>
                              <w:t xml:space="preserve">, ekonomický analytik </w:t>
                            </w:r>
                            <w:r>
                              <w:rPr>
                                <w:sz w:val="20"/>
                              </w:rPr>
                              <w:t>České bankovní asociace:</w:t>
                            </w:r>
                          </w:p>
                          <w:p w14:paraId="20A184AE" w14:textId="7794D5D3" w:rsidR="003123D0" w:rsidRDefault="003123D0" w:rsidP="003123D0">
                            <w:r w:rsidRPr="003123D0">
                              <w:rPr>
                                <w:i/>
                                <w:iCs/>
                                <w:sz w:val="20"/>
                              </w:rPr>
                              <w:t>„</w:t>
                            </w:r>
                            <w:r w:rsidRPr="00B3228D">
                              <w:rPr>
                                <w:i/>
                                <w:iCs/>
                                <w:sz w:val="20"/>
                              </w:rPr>
                              <w:t>Pokud by se epidemiologická situace do budoucna nelepšila, je otázkou, jak dlouho vybudované rezervy firmám a podnikatelům vydrží.“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3DCAC" id="_x0000_s1030" type="#_x0000_t202" style="position:absolute;left:0;text-align:left;margin-left:.2pt;margin-top:105.95pt;width:508.5pt;height:4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">
                <v:textbox>
                  <w:txbxContent>
                    <w:p w14:paraId="1054CF4D" w14:textId="77777777" w:rsidR="003123D0" w:rsidRPr="00B4285D" w:rsidRDefault="003123D0" w:rsidP="003123D0">
                      <w:pPr>
                        <w:rPr>
                          <w:sz w:val="20"/>
                        </w:rPr>
                      </w:pPr>
                      <w:r>
                        <w:rPr>
                          <w:b/>
                          <w:bCs/>
                          <w:sz w:val="20"/>
                        </w:rPr>
                        <w:t>Miroslav Zámečník</w:t>
                      </w:r>
                      <w:r w:rsidRPr="00C15C17">
                        <w:rPr>
                          <w:sz w:val="20"/>
                        </w:rPr>
                        <w:t xml:space="preserve">, ekonomický analytik </w:t>
                      </w:r>
                      <w:r>
                        <w:rPr>
                          <w:sz w:val="20"/>
                        </w:rPr>
                        <w:t>České bankovní asociace:</w:t>
                      </w:r>
                    </w:p>
                    <w:p w14:paraId="20A184AE" w14:textId="7794D5D3" w:rsidR="003123D0" w:rsidRDefault="003123D0" w:rsidP="003123D0">
                      <w:r w:rsidRPr="003123D0">
                        <w:rPr>
                          <w:i/>
                          <w:iCs/>
                          <w:sz w:val="20"/>
                        </w:rPr>
                        <w:t>„</w:t>
                      </w:r>
                      <w:r w:rsidRPr="00B3228D">
                        <w:rPr>
                          <w:i/>
                          <w:iCs/>
                          <w:sz w:val="20"/>
                        </w:rPr>
                        <w:t>Pokud by se epidemiologická situace do budoucna nelepšila, je otázkou, jak dlouho vybudované rezervy firmám a podnikatelům vydrží.“</w:t>
                      </w:r>
                    </w:p>
                  </w:txbxContent>
                </v:textbox>
                <w10:wrap type="square"/>
              </v:shape>
            </w:pict>
          </mc:Fallback>
        </mc:AlternateContent>
      </w:r>
      <w:r w:rsidR="00536B9B" w:rsidRPr="00B4285D">
        <w:rPr>
          <w:sz w:val="20"/>
        </w:rPr>
        <w:t xml:space="preserve">Zásadní nejistota do budoucna dramaticky ovlivnila vývojové trendy v oblasti vkladů a úvěrů českých firem. </w:t>
      </w:r>
      <w:r w:rsidR="00B32114" w:rsidRPr="00B4285D">
        <w:rPr>
          <w:sz w:val="20"/>
        </w:rPr>
        <w:t>V říjnu 2020 poprvé za posledních 30 let byly firemní vklady na účtech</w:t>
      </w:r>
      <w:r w:rsidR="00B10C17" w:rsidRPr="00B4285D">
        <w:rPr>
          <w:sz w:val="20"/>
        </w:rPr>
        <w:t xml:space="preserve"> u bank vyšší než jejich úvěry</w:t>
      </w:r>
      <w:r w:rsidR="00725295">
        <w:rPr>
          <w:sz w:val="20"/>
        </w:rPr>
        <w:t>.</w:t>
      </w:r>
      <w:r w:rsidR="004E3A25" w:rsidRPr="00B4285D">
        <w:rPr>
          <w:sz w:val="20"/>
        </w:rPr>
        <w:t xml:space="preserve"> Tento</w:t>
      </w:r>
      <w:r w:rsidR="00B10C17" w:rsidRPr="00B4285D">
        <w:rPr>
          <w:sz w:val="20"/>
        </w:rPr>
        <w:t xml:space="preserve"> převis se zvětšoval a v prosinci dosáhl bezmála 95 </w:t>
      </w:r>
      <w:r w:rsidR="00B3228D">
        <w:rPr>
          <w:sz w:val="20"/>
        </w:rPr>
        <w:t>miliard korun.</w:t>
      </w:r>
      <w:r w:rsidR="00B10C17" w:rsidRPr="00B4285D">
        <w:rPr>
          <w:sz w:val="20"/>
        </w:rPr>
        <w:t xml:space="preserve"> I vklady domácností setrvale rostly</w:t>
      </w:r>
      <w:r w:rsidR="00A51840" w:rsidRPr="00B4285D">
        <w:rPr>
          <w:sz w:val="20"/>
        </w:rPr>
        <w:t xml:space="preserve">. </w:t>
      </w:r>
      <w:r w:rsidR="004E3A25" w:rsidRPr="00B4285D">
        <w:rPr>
          <w:sz w:val="20"/>
        </w:rPr>
        <w:t>D</w:t>
      </w:r>
      <w:r w:rsidR="00B10C17" w:rsidRPr="00B4285D">
        <w:rPr>
          <w:sz w:val="20"/>
        </w:rPr>
        <w:t>ynamika tohoto růstu byla zhruba dvojnásobná než dynamika jejich zadlužování.</w:t>
      </w:r>
      <w:r w:rsidR="0001513F" w:rsidRPr="00B4285D">
        <w:rPr>
          <w:sz w:val="20"/>
        </w:rPr>
        <w:t xml:space="preserve"> </w:t>
      </w:r>
      <w:r w:rsidR="00A51840" w:rsidRPr="00B4285D">
        <w:rPr>
          <w:sz w:val="20"/>
        </w:rPr>
        <w:t xml:space="preserve">U </w:t>
      </w:r>
      <w:r w:rsidR="0001513F" w:rsidRPr="00B4285D">
        <w:rPr>
          <w:sz w:val="20"/>
        </w:rPr>
        <w:t xml:space="preserve">firemního sektoru </w:t>
      </w:r>
      <w:r w:rsidR="00A51840" w:rsidRPr="00B4285D">
        <w:rPr>
          <w:sz w:val="20"/>
        </w:rPr>
        <w:t xml:space="preserve">a podnikatelů </w:t>
      </w:r>
      <w:r w:rsidR="0001513F" w:rsidRPr="00B4285D">
        <w:rPr>
          <w:sz w:val="20"/>
        </w:rPr>
        <w:t>jde</w:t>
      </w:r>
      <w:r w:rsidR="00A51840" w:rsidRPr="00B4285D">
        <w:rPr>
          <w:sz w:val="20"/>
        </w:rPr>
        <w:t xml:space="preserve"> nejspíš</w:t>
      </w:r>
      <w:r w:rsidR="0001513F" w:rsidRPr="00B4285D">
        <w:rPr>
          <w:sz w:val="20"/>
        </w:rPr>
        <w:t xml:space="preserve"> především o odraz nejistoty</w:t>
      </w:r>
      <w:r w:rsidR="004E3A25" w:rsidRPr="00B4285D">
        <w:rPr>
          <w:sz w:val="20"/>
        </w:rPr>
        <w:t>. Ta se projevuje snahou</w:t>
      </w:r>
      <w:r w:rsidR="00A51840" w:rsidRPr="00B4285D">
        <w:rPr>
          <w:sz w:val="20"/>
        </w:rPr>
        <w:t xml:space="preserve"> </w:t>
      </w:r>
      <w:r w:rsidR="0001513F" w:rsidRPr="00B4285D">
        <w:rPr>
          <w:sz w:val="20"/>
        </w:rPr>
        <w:t xml:space="preserve">vytvářet co největší finanční rezervu </w:t>
      </w:r>
      <w:r w:rsidR="0001513F" w:rsidRPr="00B4285D">
        <w:rPr>
          <w:i/>
          <w:sz w:val="20"/>
        </w:rPr>
        <w:t>pro futuro</w:t>
      </w:r>
      <w:r w:rsidR="00A51840" w:rsidRPr="00B4285D">
        <w:rPr>
          <w:i/>
          <w:sz w:val="20"/>
        </w:rPr>
        <w:t xml:space="preserve"> </w:t>
      </w:r>
      <w:r w:rsidR="00A51840" w:rsidRPr="00B4285D">
        <w:rPr>
          <w:sz w:val="20"/>
        </w:rPr>
        <w:t>na úkor zejména investic</w:t>
      </w:r>
      <w:r w:rsidR="0001513F" w:rsidRPr="00B4285D">
        <w:rPr>
          <w:sz w:val="20"/>
        </w:rPr>
        <w:t>.</w:t>
      </w:r>
      <w:r w:rsidR="00A51840" w:rsidRPr="00B4285D">
        <w:rPr>
          <w:sz w:val="20"/>
        </w:rPr>
        <w:t xml:space="preserve"> U domácností je rychlý růst vkladů pravděpodobně dán především tím, že v důsledku vládních omezení nebylo po dobu celkově mnoha týdnů možno realizovat některé typy výdajů</w:t>
      </w:r>
      <w:r w:rsidR="007673D0">
        <w:rPr>
          <w:sz w:val="20"/>
        </w:rPr>
        <w:t>.</w:t>
      </w:r>
      <w:r w:rsidR="0001513F" w:rsidRPr="00B4285D">
        <w:rPr>
          <w:sz w:val="20"/>
        </w:rPr>
        <w:t xml:space="preserve"> </w:t>
      </w:r>
      <w:r w:rsidR="004E3A25" w:rsidRPr="00B4285D">
        <w:rPr>
          <w:sz w:val="20"/>
        </w:rPr>
        <w:t>B</w:t>
      </w:r>
      <w:r w:rsidR="0001513F" w:rsidRPr="00B4285D">
        <w:rPr>
          <w:sz w:val="20"/>
        </w:rPr>
        <w:t xml:space="preserve">ohatší domácnosti i přes stále rostoucí ceny investují na dluh do nemovitostí. </w:t>
      </w:r>
    </w:p>
    <w:p w14:paraId="10A23954" w14:textId="77777777" w:rsidR="00B3228D" w:rsidRDefault="00B3228D" w:rsidP="00B4285D">
      <w:pPr>
        <w:rPr>
          <w:sz w:val="20"/>
        </w:rPr>
      </w:pPr>
    </w:p>
    <w:p w14:paraId="4F4E4950" w14:textId="2A0D33B6" w:rsidR="00E732C9" w:rsidRDefault="00E732C9" w:rsidP="00B4285D">
      <w:pPr>
        <w:rPr>
          <w:szCs w:val="18"/>
        </w:rPr>
      </w:pPr>
      <w:r w:rsidRPr="00B4285D">
        <w:rPr>
          <w:sz w:val="20"/>
        </w:rPr>
        <w:t>V loňském roce zaznamenaly klientské úvěry solidní 4,9% růst</w:t>
      </w:r>
      <w:r w:rsidR="004E3A25" w:rsidRPr="00B4285D">
        <w:rPr>
          <w:sz w:val="20"/>
        </w:rPr>
        <w:t>. Ten byl tvořen</w:t>
      </w:r>
      <w:r w:rsidR="007673D0">
        <w:rPr>
          <w:sz w:val="20"/>
        </w:rPr>
        <w:t xml:space="preserve"> </w:t>
      </w:r>
      <w:r w:rsidRPr="00B4285D">
        <w:rPr>
          <w:sz w:val="20"/>
        </w:rPr>
        <w:t>6,5% nárůst</w:t>
      </w:r>
      <w:r w:rsidR="004E3A25" w:rsidRPr="00B4285D">
        <w:rPr>
          <w:sz w:val="20"/>
        </w:rPr>
        <w:t>em</w:t>
      </w:r>
      <w:r w:rsidR="007673D0">
        <w:rPr>
          <w:sz w:val="20"/>
        </w:rPr>
        <w:t xml:space="preserve"> </w:t>
      </w:r>
      <w:r w:rsidRPr="00B4285D">
        <w:rPr>
          <w:sz w:val="20"/>
        </w:rPr>
        <w:t>(především hypotečních) úvěrů domácnostem a 3,2% růst</w:t>
      </w:r>
      <w:r w:rsidR="004E3A25" w:rsidRPr="00B4285D">
        <w:rPr>
          <w:sz w:val="20"/>
        </w:rPr>
        <w:t>em</w:t>
      </w:r>
      <w:r w:rsidRPr="00B4285D">
        <w:rPr>
          <w:sz w:val="20"/>
        </w:rPr>
        <w:t xml:space="preserve"> úvěrů firemní klientele</w:t>
      </w:r>
      <w:r w:rsidR="007673D0">
        <w:rPr>
          <w:sz w:val="20"/>
        </w:rPr>
        <w:t>, který</w:t>
      </w:r>
      <w:r w:rsidR="004E3A25" w:rsidRPr="00B4285D">
        <w:rPr>
          <w:sz w:val="20"/>
        </w:rPr>
        <w:t xml:space="preserve"> podpořily </w:t>
      </w:r>
      <w:r w:rsidR="00A51840" w:rsidRPr="00B4285D">
        <w:rPr>
          <w:sz w:val="20"/>
        </w:rPr>
        <w:t>v malé míře</w:t>
      </w:r>
      <w:r w:rsidRPr="00B4285D">
        <w:rPr>
          <w:sz w:val="20"/>
        </w:rPr>
        <w:t xml:space="preserve"> vládní záruční programy </w:t>
      </w:r>
      <w:r w:rsidR="004E3A25" w:rsidRPr="00B4285D">
        <w:rPr>
          <w:sz w:val="20"/>
        </w:rPr>
        <w:t xml:space="preserve">zaměřené </w:t>
      </w:r>
      <w:r w:rsidRPr="00B4285D">
        <w:rPr>
          <w:sz w:val="20"/>
        </w:rPr>
        <w:t>především na provozní financování. Ú</w:t>
      </w:r>
      <w:r w:rsidR="00EB36AD" w:rsidRPr="00B4285D">
        <w:rPr>
          <w:sz w:val="20"/>
        </w:rPr>
        <w:t xml:space="preserve">věrová emise </w:t>
      </w:r>
      <w:r w:rsidR="00367D3B" w:rsidRPr="00B4285D">
        <w:rPr>
          <w:sz w:val="20"/>
        </w:rPr>
        <w:t>bude</w:t>
      </w:r>
      <w:r w:rsidR="004E3A25" w:rsidRPr="00B4285D">
        <w:rPr>
          <w:sz w:val="20"/>
        </w:rPr>
        <w:t xml:space="preserve"> letos </w:t>
      </w:r>
      <w:r w:rsidR="00EB36AD" w:rsidRPr="00B4285D">
        <w:rPr>
          <w:sz w:val="20"/>
        </w:rPr>
        <w:t xml:space="preserve">pokračovat </w:t>
      </w:r>
      <w:r w:rsidRPr="00B4285D">
        <w:rPr>
          <w:sz w:val="20"/>
        </w:rPr>
        <w:t>pouze zvolna</w:t>
      </w:r>
      <w:r w:rsidR="00367D3B" w:rsidRPr="00B4285D">
        <w:rPr>
          <w:sz w:val="20"/>
        </w:rPr>
        <w:t xml:space="preserve">. </w:t>
      </w:r>
      <w:r w:rsidR="00EB36AD" w:rsidRPr="00B4285D">
        <w:rPr>
          <w:sz w:val="20"/>
        </w:rPr>
        <w:t xml:space="preserve"> </w:t>
      </w:r>
      <w:r w:rsidR="00367D3B" w:rsidRPr="00B4285D">
        <w:rPr>
          <w:sz w:val="20"/>
        </w:rPr>
        <w:t>O</w:t>
      </w:r>
      <w:r w:rsidR="00EB36AD" w:rsidRPr="00B4285D">
        <w:rPr>
          <w:sz w:val="20"/>
        </w:rPr>
        <w:t>čekávan</w:t>
      </w:r>
      <w:r w:rsidR="00367D3B" w:rsidRPr="00B4285D">
        <w:rPr>
          <w:sz w:val="20"/>
        </w:rPr>
        <w:t>é</w:t>
      </w:r>
      <w:r w:rsidR="00EB36AD" w:rsidRPr="00B4285D">
        <w:rPr>
          <w:sz w:val="20"/>
        </w:rPr>
        <w:t xml:space="preserve"> meziroční temp</w:t>
      </w:r>
      <w:r w:rsidR="00367D3B" w:rsidRPr="00B4285D">
        <w:rPr>
          <w:sz w:val="20"/>
        </w:rPr>
        <w:t>o</w:t>
      </w:r>
      <w:r w:rsidR="00EB36AD" w:rsidRPr="00B4285D">
        <w:rPr>
          <w:sz w:val="20"/>
        </w:rPr>
        <w:t xml:space="preserve"> růstu </w:t>
      </w:r>
      <w:r w:rsidR="00367D3B" w:rsidRPr="00B4285D">
        <w:rPr>
          <w:sz w:val="20"/>
        </w:rPr>
        <w:t xml:space="preserve">je </w:t>
      </w:r>
      <w:r w:rsidR="00EB36AD" w:rsidRPr="00B4285D">
        <w:rPr>
          <w:sz w:val="20"/>
        </w:rPr>
        <w:t>4,</w:t>
      </w:r>
      <w:r w:rsidR="007D666C" w:rsidRPr="00B4285D">
        <w:rPr>
          <w:sz w:val="20"/>
        </w:rPr>
        <w:t>6</w:t>
      </w:r>
      <w:r w:rsidR="00EB36AD" w:rsidRPr="00B4285D">
        <w:rPr>
          <w:sz w:val="20"/>
        </w:rPr>
        <w:t xml:space="preserve"> % u klientských úvěrů celkem</w:t>
      </w:r>
      <w:r w:rsidR="00367D3B" w:rsidRPr="00B4285D">
        <w:rPr>
          <w:sz w:val="20"/>
        </w:rPr>
        <w:t xml:space="preserve">. To bude taženo především </w:t>
      </w:r>
      <w:r w:rsidRPr="00B4285D">
        <w:rPr>
          <w:sz w:val="20"/>
        </w:rPr>
        <w:t>6,2% růstem úvěrů domácnostem</w:t>
      </w:r>
      <w:r w:rsidR="00A51840" w:rsidRPr="00B4285D">
        <w:rPr>
          <w:sz w:val="20"/>
        </w:rPr>
        <w:t>. B</w:t>
      </w:r>
      <w:r w:rsidRPr="00B4285D">
        <w:rPr>
          <w:sz w:val="20"/>
        </w:rPr>
        <w:t xml:space="preserve">ankovní úvěry firemní klientele </w:t>
      </w:r>
      <w:r w:rsidR="00156EF2" w:rsidRPr="00B4285D">
        <w:rPr>
          <w:sz w:val="20"/>
        </w:rPr>
        <w:t xml:space="preserve">porostou o </w:t>
      </w:r>
      <w:r w:rsidRPr="00B4285D">
        <w:rPr>
          <w:sz w:val="20"/>
        </w:rPr>
        <w:t>pouhých 1,5 %</w:t>
      </w:r>
      <w:r w:rsidR="00A51840" w:rsidRPr="00B4285D">
        <w:rPr>
          <w:sz w:val="20"/>
        </w:rPr>
        <w:t>, přičemž toto nízké tempo růstu bude částečně dáno posilováním kurzu koruny, které samo o sobě povede ke snižování v korunách vykazovaného objemu cizoměnových úvěrů.</w:t>
      </w:r>
      <w:r w:rsidRPr="00B4285D">
        <w:rPr>
          <w:sz w:val="20"/>
        </w:rPr>
        <w:t xml:space="preserve"> Citelnější oživení úvěrové emise hlavní ekonomové bank očekávají teprve napřesrok</w:t>
      </w:r>
      <w:r w:rsidR="00367D3B" w:rsidRPr="00B4285D">
        <w:rPr>
          <w:sz w:val="20"/>
        </w:rPr>
        <w:t>. V roce 2022 by měl</w:t>
      </w:r>
      <w:r w:rsidR="000B1B0C" w:rsidRPr="00B4285D">
        <w:rPr>
          <w:sz w:val="20"/>
        </w:rPr>
        <w:t xml:space="preserve"> </w:t>
      </w:r>
      <w:r w:rsidRPr="00B4285D">
        <w:rPr>
          <w:sz w:val="20"/>
        </w:rPr>
        <w:t>zhruba 5,3%</w:t>
      </w:r>
      <w:r w:rsidR="000B1B0C" w:rsidRPr="00B4285D">
        <w:rPr>
          <w:sz w:val="20"/>
        </w:rPr>
        <w:t xml:space="preserve"> růst klientských úvěrů být rozdělen rovnoměrněji mezi 6% růst úvěrů domácnostem a 5% růst úvěrů firmám. Stále vysoká míra nejistoty se odráží </w:t>
      </w:r>
      <w:r w:rsidR="00367D3B" w:rsidRPr="00B4285D">
        <w:rPr>
          <w:sz w:val="20"/>
        </w:rPr>
        <w:t xml:space="preserve">i </w:t>
      </w:r>
      <w:r w:rsidR="000B1B0C" w:rsidRPr="00B4285D">
        <w:rPr>
          <w:sz w:val="20"/>
        </w:rPr>
        <w:t>ve vývoji klientských vkladů v bankách</w:t>
      </w:r>
      <w:r w:rsidR="00367D3B" w:rsidRPr="00B4285D">
        <w:rPr>
          <w:sz w:val="20"/>
        </w:rPr>
        <w:t>. P</w:t>
      </w:r>
      <w:r w:rsidR="000B1B0C" w:rsidRPr="00B4285D">
        <w:rPr>
          <w:sz w:val="20"/>
        </w:rPr>
        <w:t>o loňském nárůstu o 10,8 % (!) lze letos očekávat stále nadprůměrné 9% tempo, které zvolní na 6 % teprve v roce 2022.</w:t>
      </w:r>
      <w:r w:rsidR="000B1B0C">
        <w:rPr>
          <w:szCs w:val="18"/>
        </w:rPr>
        <w:t xml:space="preserve"> </w:t>
      </w:r>
    </w:p>
    <w:p w14:paraId="29920763" w14:textId="77777777" w:rsidR="00E732C9" w:rsidRDefault="00E732C9" w:rsidP="00B4285D">
      <w:pPr>
        <w:rPr>
          <w:szCs w:val="18"/>
        </w:rPr>
      </w:pPr>
    </w:p>
    <w:p w14:paraId="3356D6FD" w14:textId="77777777" w:rsidR="00B3228D" w:rsidRDefault="00B3228D" w:rsidP="00B4285D">
      <w:pPr>
        <w:rPr>
          <w:b/>
          <w:color w:val="007E79"/>
          <w:sz w:val="20"/>
        </w:rPr>
      </w:pPr>
    </w:p>
    <w:p w14:paraId="5B66FEF5" w14:textId="29AED60F" w:rsidR="00C93158" w:rsidRDefault="00C93158" w:rsidP="00B4285D">
      <w:pPr>
        <w:rPr>
          <w:b/>
          <w:color w:val="007E79"/>
          <w:sz w:val="20"/>
        </w:rPr>
      </w:pPr>
      <w:r w:rsidRPr="00AC57E5">
        <w:rPr>
          <w:b/>
          <w:color w:val="007E79"/>
          <w:sz w:val="20"/>
        </w:rPr>
        <w:t>Prognózy růstu reálného HDP:</w:t>
      </w:r>
    </w:p>
    <w:p w14:paraId="1BAB9007" w14:textId="77777777" w:rsidR="00B83E9D" w:rsidRPr="00AC57E5" w:rsidRDefault="00B83E9D" w:rsidP="00B4285D">
      <w:pPr>
        <w:rPr>
          <w:b/>
          <w:color w:val="007E79"/>
          <w:sz w:val="20"/>
        </w:rPr>
      </w:pPr>
    </w:p>
    <w:tbl>
      <w:tblPr>
        <w:tblW w:w="9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1843"/>
        <w:gridCol w:w="1843"/>
        <w:gridCol w:w="1843"/>
      </w:tblGrid>
      <w:tr w:rsidR="00C94E04" w:rsidRPr="00791240" w14:paraId="3241496F" w14:textId="75A6D5A4" w:rsidTr="00C94E04">
        <w:trPr>
          <w:trHeight w:val="257"/>
        </w:trPr>
        <w:tc>
          <w:tcPr>
            <w:tcW w:w="4366" w:type="dxa"/>
            <w:shd w:val="clear" w:color="auto" w:fill="007E79"/>
            <w:vAlign w:val="center"/>
          </w:tcPr>
          <w:p w14:paraId="194FECE0" w14:textId="77777777" w:rsidR="00C94E04" w:rsidRPr="00B83E9D" w:rsidRDefault="00C94E04" w:rsidP="00B4285D">
            <w:pPr>
              <w:autoSpaceDE/>
              <w:autoSpaceDN/>
              <w:adjustRightInd/>
              <w:jc w:val="left"/>
              <w:textAlignment w:val="auto"/>
              <w:rPr>
                <w:rFonts w:cs="Arial"/>
                <w:b/>
                <w:color w:val="FFFFFF"/>
                <w:sz w:val="20"/>
                <w:szCs w:val="18"/>
              </w:rPr>
            </w:pPr>
            <w:r w:rsidRPr="00B83E9D">
              <w:rPr>
                <w:rFonts w:cs="Arial"/>
                <w:b/>
                <w:bCs/>
                <w:color w:val="FFFFFF" w:themeColor="light1"/>
                <w:kern w:val="24"/>
                <w:sz w:val="20"/>
              </w:rPr>
              <w:t>Instituce (+ nejaktuálnější prognóza)</w:t>
            </w:r>
          </w:p>
        </w:tc>
        <w:tc>
          <w:tcPr>
            <w:tcW w:w="1843" w:type="dxa"/>
            <w:shd w:val="clear" w:color="auto" w:fill="007E79"/>
            <w:vAlign w:val="center"/>
          </w:tcPr>
          <w:p w14:paraId="4F275052" w14:textId="77777777" w:rsidR="00C94E04" w:rsidRPr="00B83E9D" w:rsidRDefault="00C94E04" w:rsidP="00635F63">
            <w:pPr>
              <w:jc w:val="center"/>
              <w:rPr>
                <w:rFonts w:cs="Arial"/>
                <w:b/>
                <w:color w:val="FFFFFF"/>
                <w:sz w:val="20"/>
                <w:szCs w:val="18"/>
              </w:rPr>
            </w:pPr>
            <w:r w:rsidRPr="00B83E9D">
              <w:rPr>
                <w:rFonts w:cs="Arial"/>
                <w:b/>
                <w:color w:val="FFFFFF"/>
                <w:sz w:val="20"/>
                <w:szCs w:val="18"/>
              </w:rPr>
              <w:t>2020</w:t>
            </w:r>
          </w:p>
        </w:tc>
        <w:tc>
          <w:tcPr>
            <w:tcW w:w="1843" w:type="dxa"/>
            <w:shd w:val="clear" w:color="auto" w:fill="007E79"/>
            <w:vAlign w:val="center"/>
          </w:tcPr>
          <w:p w14:paraId="17EF59AC" w14:textId="4A3801D8" w:rsidR="00C94E04" w:rsidRPr="00B83E9D" w:rsidRDefault="00C94E04" w:rsidP="00725295">
            <w:pPr>
              <w:jc w:val="center"/>
              <w:rPr>
                <w:rFonts w:cs="Arial"/>
                <w:b/>
                <w:color w:val="FFFFFF"/>
                <w:sz w:val="20"/>
                <w:szCs w:val="18"/>
              </w:rPr>
            </w:pPr>
            <w:r w:rsidRPr="00B83E9D">
              <w:rPr>
                <w:rFonts w:cs="Arial"/>
                <w:b/>
                <w:color w:val="FFFFFF"/>
                <w:sz w:val="20"/>
                <w:szCs w:val="18"/>
              </w:rPr>
              <w:t>2021</w:t>
            </w:r>
          </w:p>
        </w:tc>
        <w:tc>
          <w:tcPr>
            <w:tcW w:w="1843" w:type="dxa"/>
            <w:shd w:val="clear" w:color="auto" w:fill="007E79"/>
          </w:tcPr>
          <w:p w14:paraId="1C5EF096" w14:textId="602898D7" w:rsidR="00C94E04" w:rsidRPr="00B83E9D" w:rsidRDefault="00C94E04" w:rsidP="00B4285D">
            <w:pPr>
              <w:jc w:val="center"/>
              <w:rPr>
                <w:rFonts w:cs="Arial"/>
                <w:b/>
                <w:color w:val="FFFFFF"/>
                <w:sz w:val="20"/>
                <w:szCs w:val="18"/>
              </w:rPr>
            </w:pPr>
            <w:r>
              <w:rPr>
                <w:rFonts w:cs="Arial"/>
                <w:b/>
                <w:color w:val="FFFFFF"/>
                <w:sz w:val="20"/>
                <w:szCs w:val="18"/>
              </w:rPr>
              <w:t>2022</w:t>
            </w:r>
          </w:p>
        </w:tc>
      </w:tr>
      <w:tr w:rsidR="00C94E04" w:rsidRPr="00251963" w14:paraId="48CA0C97" w14:textId="014075A6" w:rsidTr="00C94E04">
        <w:trPr>
          <w:trHeight w:val="257"/>
        </w:trPr>
        <w:tc>
          <w:tcPr>
            <w:tcW w:w="4366" w:type="dxa"/>
            <w:shd w:val="clear" w:color="auto" w:fill="auto"/>
            <w:vAlign w:val="center"/>
          </w:tcPr>
          <w:p w14:paraId="0DAAF388" w14:textId="4F4607FE" w:rsidR="00C94E04" w:rsidRPr="00B83E9D" w:rsidRDefault="00C94E04" w:rsidP="00635F63">
            <w:pPr>
              <w:jc w:val="left"/>
              <w:rPr>
                <w:rFonts w:cs="Arial"/>
                <w:sz w:val="20"/>
                <w:szCs w:val="18"/>
              </w:rPr>
            </w:pPr>
            <w:r w:rsidRPr="00B83E9D">
              <w:rPr>
                <w:rFonts w:cs="Arial"/>
                <w:sz w:val="20"/>
                <w:szCs w:val="18"/>
              </w:rPr>
              <w:t xml:space="preserve">ČNB (prognóza </w:t>
            </w:r>
            <w:r>
              <w:rPr>
                <w:rFonts w:cs="Arial"/>
                <w:sz w:val="20"/>
                <w:szCs w:val="18"/>
              </w:rPr>
              <w:t>únor</w:t>
            </w:r>
            <w:r w:rsidRPr="00B83E9D">
              <w:rPr>
                <w:rFonts w:cs="Arial"/>
                <w:sz w:val="20"/>
                <w:szCs w:val="18"/>
              </w:rPr>
              <w:t xml:space="preserve"> 202</w:t>
            </w:r>
            <w:r>
              <w:rPr>
                <w:rFonts w:cs="Arial"/>
                <w:sz w:val="20"/>
                <w:szCs w:val="18"/>
              </w:rPr>
              <w:t>1</w:t>
            </w:r>
            <w:r w:rsidRPr="00B83E9D">
              <w:rPr>
                <w:rFonts w:cs="Arial"/>
                <w:sz w:val="20"/>
                <w:szCs w:val="18"/>
              </w:rPr>
              <w:t xml:space="preserve">)           </w:t>
            </w:r>
          </w:p>
        </w:tc>
        <w:tc>
          <w:tcPr>
            <w:tcW w:w="1843" w:type="dxa"/>
            <w:vAlign w:val="center"/>
          </w:tcPr>
          <w:p w14:paraId="1B3B30C1" w14:textId="47E70F7D" w:rsidR="00C94E04" w:rsidRPr="00943C78" w:rsidRDefault="00C94E04" w:rsidP="00725295">
            <w:pPr>
              <w:ind w:right="300"/>
              <w:jc w:val="center"/>
              <w:rPr>
                <w:rFonts w:cs="Arial"/>
                <w:sz w:val="20"/>
                <w:szCs w:val="18"/>
              </w:rPr>
            </w:pPr>
            <w:r w:rsidRPr="00943C78">
              <w:rPr>
                <w:rFonts w:cs="Arial"/>
                <w:sz w:val="20"/>
                <w:szCs w:val="18"/>
              </w:rPr>
              <w:t xml:space="preserve">- </w:t>
            </w:r>
            <w:r w:rsidR="00943C78" w:rsidRPr="00943C78">
              <w:rPr>
                <w:rFonts w:cs="Arial"/>
                <w:sz w:val="20"/>
                <w:szCs w:val="18"/>
              </w:rPr>
              <w:t>5,8</w:t>
            </w:r>
            <w:r w:rsidRPr="00943C78">
              <w:rPr>
                <w:rFonts w:cs="Arial"/>
                <w:sz w:val="20"/>
                <w:szCs w:val="18"/>
              </w:rPr>
              <w:t xml:space="preserve"> %</w:t>
            </w:r>
          </w:p>
        </w:tc>
        <w:tc>
          <w:tcPr>
            <w:tcW w:w="1843" w:type="dxa"/>
            <w:vAlign w:val="center"/>
          </w:tcPr>
          <w:p w14:paraId="175007AF" w14:textId="20C69307" w:rsidR="00C94E04" w:rsidRPr="00943C78" w:rsidRDefault="00943C78" w:rsidP="00B4285D">
            <w:pPr>
              <w:jc w:val="center"/>
              <w:rPr>
                <w:rFonts w:cs="Arial"/>
                <w:sz w:val="20"/>
                <w:szCs w:val="18"/>
              </w:rPr>
            </w:pPr>
            <w:r w:rsidRPr="00943C78">
              <w:rPr>
                <w:rFonts w:cs="Arial"/>
                <w:sz w:val="20"/>
                <w:szCs w:val="18"/>
              </w:rPr>
              <w:t>2,2</w:t>
            </w:r>
            <w:r w:rsidR="00C94E04" w:rsidRPr="00943C78">
              <w:rPr>
                <w:rFonts w:cs="Arial"/>
                <w:sz w:val="20"/>
                <w:szCs w:val="18"/>
              </w:rPr>
              <w:t xml:space="preserve"> %</w:t>
            </w:r>
          </w:p>
        </w:tc>
        <w:tc>
          <w:tcPr>
            <w:tcW w:w="1843" w:type="dxa"/>
          </w:tcPr>
          <w:p w14:paraId="20EE1BE7" w14:textId="3ADDF160" w:rsidR="00C94E04" w:rsidRPr="00943C78" w:rsidRDefault="00943C78" w:rsidP="00B4285D">
            <w:pPr>
              <w:jc w:val="center"/>
              <w:rPr>
                <w:rFonts w:cs="Arial"/>
                <w:sz w:val="20"/>
                <w:szCs w:val="18"/>
              </w:rPr>
            </w:pPr>
            <w:r w:rsidRPr="00943C78">
              <w:rPr>
                <w:rFonts w:cs="Arial"/>
                <w:sz w:val="20"/>
                <w:szCs w:val="18"/>
              </w:rPr>
              <w:t>3,8 %</w:t>
            </w:r>
          </w:p>
        </w:tc>
      </w:tr>
      <w:tr w:rsidR="00C94E04" w:rsidRPr="00251963" w14:paraId="36CF2337" w14:textId="69B1220B" w:rsidTr="00C94E04">
        <w:trPr>
          <w:trHeight w:val="257"/>
        </w:trPr>
        <w:tc>
          <w:tcPr>
            <w:tcW w:w="4366" w:type="dxa"/>
            <w:shd w:val="clear" w:color="auto" w:fill="auto"/>
            <w:vAlign w:val="center"/>
          </w:tcPr>
          <w:p w14:paraId="16BBCA6F" w14:textId="5419EE02" w:rsidR="00C94E04" w:rsidRPr="00B83E9D" w:rsidRDefault="00C94E04" w:rsidP="00635F63">
            <w:pPr>
              <w:jc w:val="left"/>
              <w:rPr>
                <w:rFonts w:cs="Arial"/>
                <w:sz w:val="20"/>
                <w:szCs w:val="18"/>
              </w:rPr>
            </w:pPr>
            <w:r w:rsidRPr="00B83E9D">
              <w:rPr>
                <w:rFonts w:cs="Arial"/>
                <w:sz w:val="20"/>
                <w:szCs w:val="18"/>
              </w:rPr>
              <w:t xml:space="preserve">Ministerstvo financí ČR </w:t>
            </w:r>
            <w:r>
              <w:rPr>
                <w:rFonts w:cs="Arial"/>
                <w:sz w:val="20"/>
                <w:szCs w:val="18"/>
              </w:rPr>
              <w:t xml:space="preserve"> </w:t>
            </w:r>
          </w:p>
          <w:p w14:paraId="0A51EAB4" w14:textId="4273C93E" w:rsidR="00C94E04" w:rsidRPr="00B83E9D" w:rsidRDefault="00C94E04" w:rsidP="00725295">
            <w:pPr>
              <w:jc w:val="left"/>
              <w:rPr>
                <w:rFonts w:cs="Arial"/>
                <w:sz w:val="20"/>
                <w:szCs w:val="18"/>
              </w:rPr>
            </w:pPr>
            <w:r w:rsidRPr="00B83E9D">
              <w:rPr>
                <w:rFonts w:cs="Arial"/>
                <w:sz w:val="20"/>
                <w:szCs w:val="18"/>
              </w:rPr>
              <w:t xml:space="preserve">(makroekonomická predikce </w:t>
            </w:r>
            <w:r>
              <w:rPr>
                <w:rFonts w:cs="Arial"/>
                <w:sz w:val="20"/>
                <w:szCs w:val="18"/>
              </w:rPr>
              <w:t>leden</w:t>
            </w:r>
            <w:r w:rsidRPr="00B83E9D">
              <w:rPr>
                <w:rFonts w:cs="Arial"/>
                <w:sz w:val="20"/>
                <w:szCs w:val="18"/>
              </w:rPr>
              <w:t xml:space="preserve"> 202</w:t>
            </w:r>
            <w:r>
              <w:rPr>
                <w:rFonts w:cs="Arial"/>
                <w:sz w:val="20"/>
                <w:szCs w:val="18"/>
              </w:rPr>
              <w:t>1</w:t>
            </w:r>
            <w:r w:rsidRPr="00B83E9D">
              <w:rPr>
                <w:rFonts w:cs="Arial"/>
                <w:sz w:val="20"/>
                <w:szCs w:val="18"/>
              </w:rPr>
              <w:t xml:space="preserve">)             </w:t>
            </w:r>
          </w:p>
        </w:tc>
        <w:tc>
          <w:tcPr>
            <w:tcW w:w="1843" w:type="dxa"/>
            <w:vAlign w:val="center"/>
          </w:tcPr>
          <w:p w14:paraId="07D5F971" w14:textId="0EC43CC5" w:rsidR="00C94E04" w:rsidRPr="00B83E9D" w:rsidRDefault="00C94E04" w:rsidP="00B4285D">
            <w:pPr>
              <w:ind w:right="300"/>
              <w:jc w:val="center"/>
              <w:rPr>
                <w:rFonts w:cs="Arial"/>
                <w:sz w:val="20"/>
                <w:szCs w:val="18"/>
              </w:rPr>
            </w:pPr>
            <w:r w:rsidRPr="00B83E9D">
              <w:rPr>
                <w:rFonts w:cs="Arial"/>
                <w:sz w:val="20"/>
                <w:szCs w:val="18"/>
              </w:rPr>
              <w:t>- 6</w:t>
            </w:r>
            <w:r>
              <w:rPr>
                <w:rFonts w:cs="Arial"/>
                <w:sz w:val="20"/>
                <w:szCs w:val="18"/>
              </w:rPr>
              <w:t>,1</w:t>
            </w:r>
            <w:r w:rsidRPr="00B83E9D">
              <w:rPr>
                <w:rFonts w:cs="Arial"/>
                <w:sz w:val="20"/>
                <w:szCs w:val="18"/>
              </w:rPr>
              <w:t xml:space="preserve"> %</w:t>
            </w:r>
          </w:p>
        </w:tc>
        <w:tc>
          <w:tcPr>
            <w:tcW w:w="1843" w:type="dxa"/>
            <w:vAlign w:val="center"/>
          </w:tcPr>
          <w:p w14:paraId="5ED9946E" w14:textId="7A262992" w:rsidR="00C94E04" w:rsidRPr="00B83E9D" w:rsidRDefault="00C94E04" w:rsidP="00B4285D">
            <w:pPr>
              <w:jc w:val="center"/>
              <w:rPr>
                <w:rFonts w:cs="Arial"/>
                <w:sz w:val="20"/>
                <w:szCs w:val="18"/>
              </w:rPr>
            </w:pPr>
            <w:r w:rsidRPr="00B83E9D">
              <w:rPr>
                <w:rFonts w:cs="Arial"/>
                <w:sz w:val="20"/>
                <w:szCs w:val="18"/>
              </w:rPr>
              <w:t>3,</w:t>
            </w:r>
            <w:r>
              <w:rPr>
                <w:rFonts w:cs="Arial"/>
                <w:sz w:val="20"/>
                <w:szCs w:val="18"/>
              </w:rPr>
              <w:t>1</w:t>
            </w:r>
            <w:r w:rsidRPr="00B83E9D">
              <w:rPr>
                <w:rFonts w:cs="Arial"/>
                <w:sz w:val="20"/>
                <w:szCs w:val="18"/>
              </w:rPr>
              <w:t xml:space="preserve"> %</w:t>
            </w:r>
          </w:p>
        </w:tc>
        <w:tc>
          <w:tcPr>
            <w:tcW w:w="1843" w:type="dxa"/>
          </w:tcPr>
          <w:p w14:paraId="4B73DD05" w14:textId="37F5678D" w:rsidR="00C94E04" w:rsidRPr="00B83E9D" w:rsidRDefault="00947AC8" w:rsidP="00B4285D">
            <w:pPr>
              <w:jc w:val="center"/>
              <w:rPr>
                <w:rFonts w:cs="Arial"/>
                <w:sz w:val="20"/>
                <w:szCs w:val="18"/>
              </w:rPr>
            </w:pPr>
            <w:r>
              <w:rPr>
                <w:rFonts w:cs="Arial"/>
                <w:sz w:val="20"/>
                <w:szCs w:val="18"/>
              </w:rPr>
              <w:t>3</w:t>
            </w:r>
            <w:r w:rsidR="00CD5288">
              <w:rPr>
                <w:rFonts w:cs="Arial"/>
                <w:sz w:val="20"/>
                <w:szCs w:val="18"/>
              </w:rPr>
              <w:t>,4 %</w:t>
            </w:r>
          </w:p>
        </w:tc>
      </w:tr>
      <w:tr w:rsidR="00C94E04" w:rsidRPr="00251963" w14:paraId="33F36580" w14:textId="36F2E2E2" w:rsidTr="005E5B52">
        <w:trPr>
          <w:trHeight w:val="257"/>
        </w:trPr>
        <w:tc>
          <w:tcPr>
            <w:tcW w:w="4366" w:type="dxa"/>
            <w:shd w:val="clear" w:color="auto" w:fill="auto"/>
            <w:vAlign w:val="center"/>
          </w:tcPr>
          <w:p w14:paraId="0622E4DC" w14:textId="1E91E3FC" w:rsidR="00C94E04" w:rsidRPr="00B83E9D" w:rsidRDefault="00C94E04" w:rsidP="00635F63">
            <w:pPr>
              <w:jc w:val="left"/>
              <w:rPr>
                <w:rFonts w:cs="Arial"/>
                <w:sz w:val="20"/>
                <w:szCs w:val="18"/>
              </w:rPr>
            </w:pPr>
            <w:r w:rsidRPr="00B83E9D">
              <w:rPr>
                <w:rFonts w:cs="Arial"/>
                <w:sz w:val="20"/>
                <w:szCs w:val="18"/>
              </w:rPr>
              <w:t>Evropská komise (</w:t>
            </w:r>
            <w:r w:rsidR="00C0609E">
              <w:rPr>
                <w:rFonts w:cs="Arial"/>
                <w:sz w:val="20"/>
                <w:szCs w:val="18"/>
              </w:rPr>
              <w:t xml:space="preserve">Autumn </w:t>
            </w:r>
            <w:r w:rsidRPr="00B83E9D">
              <w:rPr>
                <w:rFonts w:cs="Arial"/>
                <w:sz w:val="20"/>
                <w:szCs w:val="18"/>
              </w:rPr>
              <w:t xml:space="preserve">Economic Forecast, </w:t>
            </w:r>
            <w:r w:rsidR="00C0609E">
              <w:rPr>
                <w:rFonts w:cs="Arial"/>
                <w:sz w:val="20"/>
                <w:szCs w:val="18"/>
              </w:rPr>
              <w:t>listopad</w:t>
            </w:r>
            <w:r w:rsidRPr="00B83E9D">
              <w:rPr>
                <w:rFonts w:cs="Arial"/>
                <w:sz w:val="20"/>
                <w:szCs w:val="18"/>
              </w:rPr>
              <w:t xml:space="preserve"> 2020)</w:t>
            </w:r>
          </w:p>
        </w:tc>
        <w:tc>
          <w:tcPr>
            <w:tcW w:w="1843" w:type="dxa"/>
            <w:vAlign w:val="center"/>
          </w:tcPr>
          <w:p w14:paraId="03B270A4" w14:textId="047F1721" w:rsidR="00C94E04" w:rsidRPr="00B83E9D" w:rsidRDefault="00C94E04" w:rsidP="00725295">
            <w:pPr>
              <w:ind w:right="300"/>
              <w:jc w:val="center"/>
              <w:rPr>
                <w:rFonts w:cs="Arial"/>
                <w:sz w:val="20"/>
                <w:szCs w:val="18"/>
              </w:rPr>
            </w:pPr>
            <w:r w:rsidRPr="00B83E9D">
              <w:rPr>
                <w:rFonts w:cs="Arial"/>
                <w:sz w:val="20"/>
                <w:szCs w:val="18"/>
              </w:rPr>
              <w:t xml:space="preserve">- </w:t>
            </w:r>
            <w:r w:rsidR="00C0609E">
              <w:rPr>
                <w:rFonts w:cs="Arial"/>
                <w:sz w:val="20"/>
                <w:szCs w:val="18"/>
              </w:rPr>
              <w:t>6,9</w:t>
            </w:r>
            <w:r w:rsidRPr="00B83E9D">
              <w:rPr>
                <w:rFonts w:cs="Arial"/>
                <w:sz w:val="20"/>
                <w:szCs w:val="18"/>
              </w:rPr>
              <w:t xml:space="preserve"> %</w:t>
            </w:r>
          </w:p>
        </w:tc>
        <w:tc>
          <w:tcPr>
            <w:tcW w:w="1843" w:type="dxa"/>
            <w:vAlign w:val="center"/>
          </w:tcPr>
          <w:p w14:paraId="6F97F733" w14:textId="5E485D2B" w:rsidR="00C94E04" w:rsidRPr="00B83E9D" w:rsidRDefault="00C0609E" w:rsidP="00B4285D">
            <w:pPr>
              <w:jc w:val="center"/>
              <w:rPr>
                <w:rFonts w:cs="Arial"/>
                <w:sz w:val="20"/>
                <w:szCs w:val="18"/>
              </w:rPr>
            </w:pPr>
            <w:r>
              <w:rPr>
                <w:rFonts w:cs="Arial"/>
                <w:sz w:val="20"/>
                <w:szCs w:val="18"/>
              </w:rPr>
              <w:t>3,1</w:t>
            </w:r>
            <w:r w:rsidR="00C94E04" w:rsidRPr="00B83E9D">
              <w:rPr>
                <w:rFonts w:cs="Arial"/>
                <w:sz w:val="20"/>
                <w:szCs w:val="18"/>
              </w:rPr>
              <w:t xml:space="preserve"> %</w:t>
            </w:r>
          </w:p>
        </w:tc>
        <w:tc>
          <w:tcPr>
            <w:tcW w:w="1843" w:type="dxa"/>
            <w:vAlign w:val="center"/>
          </w:tcPr>
          <w:p w14:paraId="1EF6B851" w14:textId="25B7204D" w:rsidR="00C94E04" w:rsidRPr="00B83E9D" w:rsidRDefault="00C0609E" w:rsidP="005E5B52">
            <w:pPr>
              <w:jc w:val="center"/>
              <w:rPr>
                <w:rFonts w:cs="Arial"/>
                <w:sz w:val="20"/>
                <w:szCs w:val="18"/>
              </w:rPr>
            </w:pPr>
            <w:r>
              <w:rPr>
                <w:rFonts w:cs="Arial"/>
                <w:sz w:val="20"/>
                <w:szCs w:val="18"/>
              </w:rPr>
              <w:t>4,5 %</w:t>
            </w:r>
          </w:p>
        </w:tc>
      </w:tr>
      <w:tr w:rsidR="00C94E04" w:rsidRPr="00251963" w14:paraId="1841127B" w14:textId="7A09C873" w:rsidTr="00C94E04">
        <w:trPr>
          <w:trHeight w:val="257"/>
        </w:trPr>
        <w:tc>
          <w:tcPr>
            <w:tcW w:w="4366" w:type="dxa"/>
            <w:shd w:val="clear" w:color="auto" w:fill="auto"/>
            <w:vAlign w:val="center"/>
          </w:tcPr>
          <w:p w14:paraId="4386D38A" w14:textId="4DB4494D" w:rsidR="00C94E04" w:rsidRPr="00B83E9D" w:rsidRDefault="00C94E04" w:rsidP="00635F63">
            <w:pPr>
              <w:jc w:val="left"/>
              <w:rPr>
                <w:rFonts w:cs="Arial"/>
                <w:sz w:val="20"/>
                <w:szCs w:val="18"/>
              </w:rPr>
            </w:pPr>
            <w:r w:rsidRPr="00B83E9D">
              <w:rPr>
                <w:rFonts w:cs="Arial"/>
                <w:sz w:val="20"/>
                <w:szCs w:val="18"/>
              </w:rPr>
              <w:t xml:space="preserve">MMF (World Economic Outlook, </w:t>
            </w:r>
            <w:r w:rsidR="00CD5288">
              <w:rPr>
                <w:rFonts w:cs="Arial"/>
                <w:sz w:val="20"/>
                <w:szCs w:val="18"/>
              </w:rPr>
              <w:t>leden</w:t>
            </w:r>
            <w:r w:rsidRPr="00B83E9D">
              <w:rPr>
                <w:rFonts w:cs="Arial"/>
                <w:sz w:val="20"/>
                <w:szCs w:val="18"/>
              </w:rPr>
              <w:t xml:space="preserve"> 202</w:t>
            </w:r>
            <w:r w:rsidR="00CD5288">
              <w:rPr>
                <w:rFonts w:cs="Arial"/>
                <w:sz w:val="20"/>
                <w:szCs w:val="18"/>
              </w:rPr>
              <w:t>1</w:t>
            </w:r>
            <w:r w:rsidRPr="00B83E9D">
              <w:rPr>
                <w:rFonts w:cs="Arial"/>
                <w:sz w:val="20"/>
                <w:szCs w:val="18"/>
              </w:rPr>
              <w:t xml:space="preserve">)    </w:t>
            </w:r>
          </w:p>
        </w:tc>
        <w:tc>
          <w:tcPr>
            <w:tcW w:w="1843" w:type="dxa"/>
            <w:vAlign w:val="center"/>
          </w:tcPr>
          <w:p w14:paraId="6D6008DE" w14:textId="7AC91C15" w:rsidR="00C94E04" w:rsidRPr="00D242FD" w:rsidRDefault="00C94E04" w:rsidP="00725295">
            <w:pPr>
              <w:ind w:right="300"/>
              <w:jc w:val="center"/>
              <w:rPr>
                <w:rFonts w:cs="Arial"/>
                <w:sz w:val="20"/>
                <w:szCs w:val="18"/>
              </w:rPr>
            </w:pPr>
            <w:r w:rsidRPr="00D242FD">
              <w:rPr>
                <w:rFonts w:cs="Arial"/>
                <w:sz w:val="20"/>
                <w:szCs w:val="18"/>
              </w:rPr>
              <w:t>- 6,5 %</w:t>
            </w:r>
          </w:p>
        </w:tc>
        <w:tc>
          <w:tcPr>
            <w:tcW w:w="1843" w:type="dxa"/>
            <w:vAlign w:val="center"/>
          </w:tcPr>
          <w:p w14:paraId="5B1F6A61" w14:textId="0604F4BC" w:rsidR="00C94E04" w:rsidRPr="00D242FD" w:rsidRDefault="00D242FD" w:rsidP="00B4285D">
            <w:pPr>
              <w:jc w:val="center"/>
              <w:rPr>
                <w:rFonts w:cs="Arial"/>
                <w:sz w:val="20"/>
                <w:szCs w:val="18"/>
              </w:rPr>
            </w:pPr>
            <w:r w:rsidRPr="00D242FD">
              <w:rPr>
                <w:rFonts w:cs="Arial"/>
                <w:sz w:val="20"/>
                <w:szCs w:val="18"/>
              </w:rPr>
              <w:t>5</w:t>
            </w:r>
            <w:r w:rsidR="00C94E04" w:rsidRPr="00D242FD">
              <w:rPr>
                <w:rFonts w:cs="Arial"/>
                <w:sz w:val="20"/>
                <w:szCs w:val="18"/>
              </w:rPr>
              <w:t>,1 %</w:t>
            </w:r>
          </w:p>
        </w:tc>
        <w:tc>
          <w:tcPr>
            <w:tcW w:w="1843" w:type="dxa"/>
          </w:tcPr>
          <w:p w14:paraId="645BD97D" w14:textId="72BD9259" w:rsidR="00C94E04" w:rsidRPr="00D242FD" w:rsidRDefault="00D242FD" w:rsidP="00B4285D">
            <w:pPr>
              <w:jc w:val="center"/>
              <w:rPr>
                <w:rFonts w:cs="Arial"/>
                <w:sz w:val="20"/>
                <w:szCs w:val="18"/>
              </w:rPr>
            </w:pPr>
            <w:r w:rsidRPr="00D242FD">
              <w:rPr>
                <w:rFonts w:cs="Arial"/>
                <w:sz w:val="20"/>
                <w:szCs w:val="18"/>
              </w:rPr>
              <w:t>4,3 %</w:t>
            </w:r>
          </w:p>
        </w:tc>
      </w:tr>
      <w:tr w:rsidR="00C94E04" w:rsidRPr="00251963" w14:paraId="136774CF" w14:textId="32B3780A" w:rsidTr="005E5B52">
        <w:trPr>
          <w:trHeight w:val="257"/>
        </w:trPr>
        <w:tc>
          <w:tcPr>
            <w:tcW w:w="4366" w:type="dxa"/>
            <w:shd w:val="clear" w:color="auto" w:fill="auto"/>
            <w:vAlign w:val="center"/>
          </w:tcPr>
          <w:p w14:paraId="65AA4375" w14:textId="3A744177" w:rsidR="00C94E04" w:rsidRPr="00B83E9D" w:rsidRDefault="00C94E04" w:rsidP="00635F63">
            <w:pPr>
              <w:jc w:val="left"/>
              <w:rPr>
                <w:rFonts w:cs="Arial"/>
                <w:sz w:val="20"/>
                <w:szCs w:val="18"/>
              </w:rPr>
            </w:pPr>
            <w:r w:rsidRPr="00B83E9D">
              <w:rPr>
                <w:rFonts w:cs="Arial"/>
                <w:sz w:val="20"/>
                <w:szCs w:val="18"/>
              </w:rPr>
              <w:t xml:space="preserve">OECD (Economic Outlook, </w:t>
            </w:r>
            <w:r w:rsidR="00422611">
              <w:rPr>
                <w:rFonts w:cs="Arial"/>
                <w:sz w:val="20"/>
                <w:szCs w:val="18"/>
              </w:rPr>
              <w:t>prosinec</w:t>
            </w:r>
            <w:r w:rsidRPr="00B83E9D">
              <w:rPr>
                <w:rFonts w:cs="Arial"/>
                <w:sz w:val="20"/>
                <w:szCs w:val="18"/>
              </w:rPr>
              <w:t xml:space="preserve"> 2020)</w:t>
            </w:r>
          </w:p>
        </w:tc>
        <w:tc>
          <w:tcPr>
            <w:tcW w:w="1843" w:type="dxa"/>
            <w:vAlign w:val="center"/>
          </w:tcPr>
          <w:p w14:paraId="4FEAC9E7" w14:textId="0BF5A3C2" w:rsidR="00C94E04" w:rsidRPr="005E5B52" w:rsidRDefault="005E5B52" w:rsidP="005E5B52">
            <w:pPr>
              <w:ind w:right="300"/>
              <w:jc w:val="center"/>
              <w:rPr>
                <w:rFonts w:cs="Arial"/>
                <w:sz w:val="20"/>
                <w:szCs w:val="18"/>
              </w:rPr>
            </w:pPr>
            <w:r>
              <w:rPr>
                <w:rFonts w:cs="Arial"/>
                <w:sz w:val="20"/>
                <w:szCs w:val="18"/>
              </w:rPr>
              <w:t xml:space="preserve">- </w:t>
            </w:r>
            <w:r w:rsidR="00422611" w:rsidRPr="005E5B52">
              <w:rPr>
                <w:rFonts w:cs="Arial"/>
                <w:sz w:val="20"/>
                <w:szCs w:val="18"/>
              </w:rPr>
              <w:t xml:space="preserve">6,8 </w:t>
            </w:r>
            <w:r w:rsidR="00C94E04" w:rsidRPr="005E5B52">
              <w:rPr>
                <w:rFonts w:cs="Arial"/>
                <w:sz w:val="20"/>
                <w:szCs w:val="18"/>
              </w:rPr>
              <w:t>%</w:t>
            </w:r>
          </w:p>
        </w:tc>
        <w:tc>
          <w:tcPr>
            <w:tcW w:w="1843" w:type="dxa"/>
            <w:vAlign w:val="center"/>
          </w:tcPr>
          <w:p w14:paraId="7D507A0E" w14:textId="0C46696B" w:rsidR="00C94E04" w:rsidRPr="00B83E9D" w:rsidRDefault="00C94E04" w:rsidP="00B4285D">
            <w:pPr>
              <w:jc w:val="center"/>
              <w:rPr>
                <w:rFonts w:cs="Arial"/>
                <w:sz w:val="20"/>
                <w:szCs w:val="18"/>
              </w:rPr>
            </w:pPr>
            <w:r w:rsidRPr="00B83E9D">
              <w:rPr>
                <w:rFonts w:cs="Arial"/>
                <w:sz w:val="20"/>
                <w:szCs w:val="18"/>
              </w:rPr>
              <w:t>1,</w:t>
            </w:r>
            <w:r w:rsidR="00422611">
              <w:rPr>
                <w:rFonts w:cs="Arial"/>
                <w:sz w:val="20"/>
                <w:szCs w:val="18"/>
              </w:rPr>
              <w:t>5</w:t>
            </w:r>
            <w:r w:rsidRPr="00B83E9D">
              <w:rPr>
                <w:rFonts w:cs="Arial"/>
                <w:sz w:val="20"/>
                <w:szCs w:val="18"/>
              </w:rPr>
              <w:t xml:space="preserve"> %</w:t>
            </w:r>
          </w:p>
        </w:tc>
        <w:tc>
          <w:tcPr>
            <w:tcW w:w="1843" w:type="dxa"/>
          </w:tcPr>
          <w:p w14:paraId="2A10D321" w14:textId="699E0EA3" w:rsidR="00C94E04" w:rsidRPr="00B83E9D" w:rsidRDefault="00422611" w:rsidP="00B4285D">
            <w:pPr>
              <w:jc w:val="center"/>
              <w:rPr>
                <w:rFonts w:cs="Arial"/>
                <w:sz w:val="20"/>
                <w:szCs w:val="18"/>
              </w:rPr>
            </w:pPr>
            <w:r>
              <w:rPr>
                <w:rFonts w:cs="Arial"/>
                <w:sz w:val="20"/>
                <w:szCs w:val="18"/>
              </w:rPr>
              <w:t>3,3 %</w:t>
            </w:r>
          </w:p>
        </w:tc>
      </w:tr>
      <w:tr w:rsidR="00C94E04" w:rsidRPr="00D06DE3" w14:paraId="04F9D0FF" w14:textId="62805501" w:rsidTr="003C7394">
        <w:trPr>
          <w:trHeight w:val="242"/>
        </w:trPr>
        <w:tc>
          <w:tcPr>
            <w:tcW w:w="4366" w:type="dxa"/>
            <w:shd w:val="clear" w:color="auto" w:fill="auto"/>
            <w:vAlign w:val="center"/>
          </w:tcPr>
          <w:p w14:paraId="136EA678" w14:textId="7F1ADCE4" w:rsidR="00C94E04" w:rsidRPr="00B83E9D" w:rsidRDefault="00C94E04" w:rsidP="00635F63">
            <w:pPr>
              <w:jc w:val="left"/>
              <w:rPr>
                <w:rFonts w:cs="Arial"/>
                <w:b/>
                <w:bCs/>
                <w:sz w:val="20"/>
                <w:szCs w:val="18"/>
              </w:rPr>
            </w:pPr>
            <w:r w:rsidRPr="00B83E9D">
              <w:rPr>
                <w:rFonts w:cs="Arial"/>
                <w:b/>
                <w:bCs/>
                <w:color w:val="FF0000"/>
                <w:sz w:val="20"/>
                <w:szCs w:val="18"/>
              </w:rPr>
              <w:t xml:space="preserve">ČBA (prognóza </w:t>
            </w:r>
            <w:r>
              <w:rPr>
                <w:rFonts w:cs="Arial"/>
                <w:b/>
                <w:bCs/>
                <w:color w:val="FF0000"/>
                <w:sz w:val="20"/>
                <w:szCs w:val="18"/>
              </w:rPr>
              <w:t>únor 2021</w:t>
            </w:r>
            <w:r w:rsidRPr="00B83E9D">
              <w:rPr>
                <w:rFonts w:cs="Arial"/>
                <w:b/>
                <w:bCs/>
                <w:color w:val="FF0000"/>
                <w:sz w:val="20"/>
                <w:szCs w:val="18"/>
              </w:rPr>
              <w:t xml:space="preserve">)       </w:t>
            </w:r>
          </w:p>
        </w:tc>
        <w:tc>
          <w:tcPr>
            <w:tcW w:w="1843" w:type="dxa"/>
            <w:shd w:val="clear" w:color="auto" w:fill="auto"/>
            <w:vAlign w:val="center"/>
          </w:tcPr>
          <w:p w14:paraId="4F838E60" w14:textId="5FBFEEE0" w:rsidR="00C94E04" w:rsidRPr="003C7394" w:rsidRDefault="00C94E04" w:rsidP="00725295">
            <w:pPr>
              <w:ind w:right="300"/>
              <w:jc w:val="center"/>
              <w:rPr>
                <w:rFonts w:cs="Arial"/>
                <w:b/>
                <w:bCs/>
                <w:color w:val="FF0000"/>
                <w:sz w:val="20"/>
              </w:rPr>
            </w:pPr>
            <w:r w:rsidRPr="003C7394">
              <w:rPr>
                <w:rFonts w:cs="Arial"/>
                <w:b/>
                <w:color w:val="FF0000"/>
                <w:sz w:val="20"/>
                <w:szCs w:val="18"/>
              </w:rPr>
              <w:t xml:space="preserve">- </w:t>
            </w:r>
            <w:r w:rsidR="003C7394" w:rsidRPr="003C7394">
              <w:rPr>
                <w:rFonts w:cs="Arial"/>
                <w:b/>
                <w:color w:val="FF0000"/>
                <w:sz w:val="20"/>
                <w:szCs w:val="18"/>
              </w:rPr>
              <w:t>5,6</w:t>
            </w:r>
            <w:r w:rsidRPr="003C7394">
              <w:rPr>
                <w:rFonts w:cs="Arial"/>
                <w:b/>
                <w:color w:val="FF0000"/>
                <w:sz w:val="20"/>
                <w:szCs w:val="18"/>
              </w:rPr>
              <w:t xml:space="preserve"> %</w:t>
            </w:r>
          </w:p>
        </w:tc>
        <w:tc>
          <w:tcPr>
            <w:tcW w:w="1843" w:type="dxa"/>
            <w:shd w:val="clear" w:color="auto" w:fill="auto"/>
            <w:vAlign w:val="center"/>
          </w:tcPr>
          <w:p w14:paraId="588CB755" w14:textId="32E748E7" w:rsidR="00C94E04" w:rsidRPr="003C7394" w:rsidRDefault="00C94E04" w:rsidP="00B4285D">
            <w:pPr>
              <w:pStyle w:val="Normlnweb"/>
              <w:spacing w:before="0" w:beforeAutospacing="0" w:after="0" w:afterAutospacing="0"/>
              <w:jc w:val="center"/>
              <w:textAlignment w:val="bottom"/>
              <w:rPr>
                <w:rFonts w:ascii="Arial" w:hAnsi="Arial" w:cs="Arial"/>
                <w:b/>
                <w:bCs/>
                <w:color w:val="FF0000"/>
                <w:sz w:val="20"/>
                <w:szCs w:val="20"/>
              </w:rPr>
            </w:pPr>
            <w:r w:rsidRPr="003C7394">
              <w:rPr>
                <w:rFonts w:ascii="Arial" w:hAnsi="Arial" w:cs="Arial"/>
                <w:b/>
                <w:bCs/>
                <w:color w:val="FF0000"/>
                <w:sz w:val="20"/>
                <w:szCs w:val="20"/>
              </w:rPr>
              <w:t>2,</w:t>
            </w:r>
            <w:r w:rsidR="00242192">
              <w:rPr>
                <w:rFonts w:ascii="Arial" w:hAnsi="Arial" w:cs="Arial"/>
                <w:b/>
                <w:bCs/>
                <w:color w:val="FF0000"/>
                <w:sz w:val="20"/>
                <w:szCs w:val="20"/>
              </w:rPr>
              <w:t>6</w:t>
            </w:r>
            <w:r w:rsidRPr="003C7394">
              <w:rPr>
                <w:rFonts w:ascii="Arial" w:hAnsi="Arial" w:cs="Arial"/>
                <w:b/>
                <w:bCs/>
                <w:color w:val="FF0000"/>
                <w:sz w:val="20"/>
                <w:szCs w:val="20"/>
              </w:rPr>
              <w:t xml:space="preserve"> %</w:t>
            </w:r>
          </w:p>
        </w:tc>
        <w:tc>
          <w:tcPr>
            <w:tcW w:w="1843" w:type="dxa"/>
            <w:shd w:val="clear" w:color="auto" w:fill="auto"/>
          </w:tcPr>
          <w:p w14:paraId="7049F428" w14:textId="47AE1C1D" w:rsidR="00C94E04" w:rsidRPr="003C7394" w:rsidRDefault="003C7394" w:rsidP="00B4285D">
            <w:pPr>
              <w:pStyle w:val="Normlnweb"/>
              <w:spacing w:before="0" w:beforeAutospacing="0" w:after="0" w:afterAutospacing="0"/>
              <w:jc w:val="center"/>
              <w:textAlignment w:val="bottom"/>
              <w:rPr>
                <w:rFonts w:ascii="Arial" w:hAnsi="Arial" w:cs="Arial"/>
                <w:b/>
                <w:bCs/>
                <w:color w:val="FF0000"/>
                <w:sz w:val="20"/>
                <w:szCs w:val="20"/>
              </w:rPr>
            </w:pPr>
            <w:r w:rsidRPr="003C7394">
              <w:rPr>
                <w:rFonts w:ascii="Arial" w:hAnsi="Arial" w:cs="Arial"/>
                <w:b/>
                <w:bCs/>
                <w:color w:val="FF0000"/>
                <w:sz w:val="20"/>
                <w:szCs w:val="20"/>
              </w:rPr>
              <w:t>4,</w:t>
            </w:r>
            <w:r w:rsidR="00242192">
              <w:rPr>
                <w:rFonts w:ascii="Arial" w:hAnsi="Arial" w:cs="Arial"/>
                <w:b/>
                <w:bCs/>
                <w:color w:val="FF0000"/>
                <w:sz w:val="20"/>
                <w:szCs w:val="20"/>
              </w:rPr>
              <w:t>6</w:t>
            </w:r>
            <w:r w:rsidRPr="003C7394">
              <w:rPr>
                <w:rFonts w:ascii="Arial" w:hAnsi="Arial" w:cs="Arial"/>
                <w:b/>
                <w:bCs/>
                <w:color w:val="FF0000"/>
                <w:sz w:val="20"/>
                <w:szCs w:val="20"/>
              </w:rPr>
              <w:t xml:space="preserve"> %</w:t>
            </w:r>
          </w:p>
        </w:tc>
      </w:tr>
    </w:tbl>
    <w:p w14:paraId="76A4FED4" w14:textId="734CDE40" w:rsidR="007D666C" w:rsidRDefault="007D666C" w:rsidP="00635F63">
      <w:pPr>
        <w:rPr>
          <w:b/>
          <w:color w:val="007E79"/>
          <w:sz w:val="20"/>
        </w:rPr>
      </w:pPr>
    </w:p>
    <w:p w14:paraId="66F73B34" w14:textId="77777777" w:rsidR="00E77EE7" w:rsidRDefault="00E77EE7" w:rsidP="00725295">
      <w:pPr>
        <w:rPr>
          <w:b/>
          <w:color w:val="007E79"/>
          <w:sz w:val="20"/>
        </w:rPr>
      </w:pPr>
    </w:p>
    <w:p w14:paraId="1B11906A" w14:textId="77777777" w:rsidR="00B3228D" w:rsidRDefault="00B3228D">
      <w:pPr>
        <w:overflowPunct/>
        <w:autoSpaceDE/>
        <w:autoSpaceDN/>
        <w:adjustRightInd/>
        <w:spacing w:after="160" w:line="259" w:lineRule="auto"/>
        <w:jc w:val="left"/>
        <w:textAlignment w:val="auto"/>
        <w:rPr>
          <w:b/>
          <w:color w:val="007E79"/>
          <w:sz w:val="20"/>
        </w:rPr>
      </w:pPr>
      <w:r>
        <w:rPr>
          <w:b/>
          <w:color w:val="007E79"/>
          <w:sz w:val="20"/>
        </w:rPr>
        <w:br w:type="page"/>
      </w:r>
    </w:p>
    <w:p w14:paraId="0FC19613" w14:textId="25828413" w:rsidR="00C93158" w:rsidRPr="00302451" w:rsidRDefault="00C93158" w:rsidP="00B4285D">
      <w:pPr>
        <w:rPr>
          <w:b/>
          <w:color w:val="007E79"/>
          <w:sz w:val="20"/>
        </w:rPr>
      </w:pPr>
      <w:r w:rsidRPr="00302451">
        <w:rPr>
          <w:b/>
          <w:color w:val="007E79"/>
          <w:sz w:val="20"/>
        </w:rPr>
        <w:lastRenderedPageBreak/>
        <w:t>Makroekonomická prognóza ČBA v číslech:</w:t>
      </w:r>
    </w:p>
    <w:p w14:paraId="10A71CAA" w14:textId="5C88FB90" w:rsidR="00C93158" w:rsidRDefault="00C93158" w:rsidP="00B4285D">
      <w:pPr>
        <w:rPr>
          <w:rFonts w:cs="Arial"/>
          <w:sz w:val="20"/>
          <w:szCs w:val="18"/>
        </w:rPr>
      </w:pPr>
    </w:p>
    <w:tbl>
      <w:tblPr>
        <w:tblW w:w="10244" w:type="dxa"/>
        <w:jc w:val="center"/>
        <w:tblCellMar>
          <w:left w:w="0" w:type="dxa"/>
          <w:right w:w="0" w:type="dxa"/>
        </w:tblCellMar>
        <w:tblLook w:val="04A0" w:firstRow="1" w:lastRow="0" w:firstColumn="1" w:lastColumn="0" w:noHBand="0" w:noVBand="1"/>
      </w:tblPr>
      <w:tblGrid>
        <w:gridCol w:w="5100"/>
        <w:gridCol w:w="2147"/>
        <w:gridCol w:w="1667"/>
        <w:gridCol w:w="1330"/>
      </w:tblGrid>
      <w:tr w:rsidR="00156EF2" w:rsidRPr="0065675B" w14:paraId="4B1594D4" w14:textId="5AF73129" w:rsidTr="003123D0">
        <w:trPr>
          <w:trHeight w:val="90"/>
          <w:jc w:val="center"/>
        </w:trPr>
        <w:tc>
          <w:tcPr>
            <w:tcW w:w="5100" w:type="dxa"/>
            <w:tcBorders>
              <w:top w:val="single" w:sz="8" w:space="0" w:color="FFFFFF"/>
              <w:left w:val="single" w:sz="8" w:space="0" w:color="FFFFFF"/>
              <w:bottom w:val="single" w:sz="24" w:space="0" w:color="FFFFFF"/>
              <w:right w:val="single" w:sz="8" w:space="0" w:color="FFFFFF"/>
            </w:tcBorders>
            <w:shd w:val="clear" w:color="auto" w:fill="007E79"/>
            <w:tcMar>
              <w:top w:w="15" w:type="dxa"/>
              <w:left w:w="108" w:type="dxa"/>
              <w:bottom w:w="0" w:type="dxa"/>
              <w:right w:w="108" w:type="dxa"/>
            </w:tcMar>
            <w:vAlign w:val="center"/>
            <w:hideMark/>
          </w:tcPr>
          <w:p w14:paraId="411568ED" w14:textId="77777777" w:rsidR="00156EF2" w:rsidRPr="00B83E9D" w:rsidRDefault="00156EF2" w:rsidP="00B4285D">
            <w:pPr>
              <w:autoSpaceDE/>
              <w:autoSpaceDN/>
              <w:adjustRightInd/>
              <w:jc w:val="left"/>
              <w:textAlignment w:val="auto"/>
              <w:rPr>
                <w:rFonts w:cs="Arial"/>
                <w:szCs w:val="18"/>
              </w:rPr>
            </w:pPr>
            <w:r w:rsidRPr="00B83E9D">
              <w:rPr>
                <w:rFonts w:cs="Arial"/>
                <w:b/>
                <w:bCs/>
                <w:color w:val="FFFFFF" w:themeColor="light1"/>
                <w:kern w:val="24"/>
                <w:szCs w:val="18"/>
              </w:rPr>
              <w:t>Ukazatel</w:t>
            </w:r>
          </w:p>
        </w:tc>
        <w:tc>
          <w:tcPr>
            <w:tcW w:w="2147" w:type="dxa"/>
            <w:tcBorders>
              <w:top w:val="single" w:sz="8" w:space="0" w:color="FFFFFF"/>
              <w:left w:val="single" w:sz="8" w:space="0" w:color="FFFFFF"/>
              <w:bottom w:val="single" w:sz="24" w:space="0" w:color="FFFFFF"/>
              <w:right w:val="single" w:sz="8" w:space="0" w:color="FFFFFF"/>
            </w:tcBorders>
            <w:shd w:val="clear" w:color="auto" w:fill="007E79"/>
            <w:tcMar>
              <w:top w:w="15" w:type="dxa"/>
              <w:left w:w="108" w:type="dxa"/>
              <w:bottom w:w="0" w:type="dxa"/>
              <w:right w:w="108" w:type="dxa"/>
            </w:tcMar>
            <w:vAlign w:val="center"/>
            <w:hideMark/>
          </w:tcPr>
          <w:p w14:paraId="28E7FCB5" w14:textId="0AAD25FA" w:rsidR="00156EF2" w:rsidRPr="00B83E9D" w:rsidRDefault="00156EF2" w:rsidP="00B4285D">
            <w:pPr>
              <w:autoSpaceDE/>
              <w:autoSpaceDN/>
              <w:adjustRightInd/>
              <w:jc w:val="center"/>
              <w:textAlignment w:val="auto"/>
              <w:rPr>
                <w:rFonts w:cs="Arial"/>
                <w:szCs w:val="18"/>
              </w:rPr>
            </w:pPr>
            <w:r w:rsidRPr="00B83E9D">
              <w:rPr>
                <w:rFonts w:cs="Arial"/>
                <w:b/>
                <w:bCs/>
                <w:color w:val="FFFFFF" w:themeColor="light1"/>
                <w:kern w:val="24"/>
                <w:szCs w:val="18"/>
              </w:rPr>
              <w:t>20</w:t>
            </w:r>
            <w:r w:rsidR="007204F9">
              <w:rPr>
                <w:rFonts w:cs="Arial"/>
                <w:b/>
                <w:bCs/>
                <w:color w:val="FFFFFF" w:themeColor="light1"/>
                <w:kern w:val="24"/>
                <w:szCs w:val="18"/>
              </w:rPr>
              <w:t>20</w:t>
            </w:r>
            <w:r w:rsidRPr="00B83E9D">
              <w:rPr>
                <w:rFonts w:cs="Arial"/>
                <w:b/>
                <w:bCs/>
                <w:color w:val="FFFFFF" w:themeColor="light1"/>
                <w:kern w:val="24"/>
                <w:szCs w:val="18"/>
              </w:rPr>
              <w:t xml:space="preserve"> (</w:t>
            </w:r>
            <w:r w:rsidR="00EC126D">
              <w:rPr>
                <w:rFonts w:cs="Arial"/>
                <w:b/>
                <w:bCs/>
                <w:color w:val="FFFFFF" w:themeColor="light1"/>
                <w:kern w:val="24"/>
                <w:szCs w:val="18"/>
              </w:rPr>
              <w:t>prognóza/</w:t>
            </w:r>
            <w:r w:rsidRPr="00EC126D">
              <w:rPr>
                <w:rFonts w:cs="Arial"/>
                <w:b/>
                <w:bCs/>
                <w:color w:val="FF0000"/>
                <w:kern w:val="24"/>
                <w:szCs w:val="18"/>
              </w:rPr>
              <w:t>skutečnost</w:t>
            </w:r>
            <w:r w:rsidRPr="00B83E9D">
              <w:rPr>
                <w:rFonts w:cs="Arial"/>
                <w:b/>
                <w:bCs/>
                <w:color w:val="FFFFFF" w:themeColor="light1"/>
                <w:kern w:val="24"/>
                <w:szCs w:val="18"/>
              </w:rPr>
              <w:t>)</w:t>
            </w:r>
          </w:p>
        </w:tc>
        <w:tc>
          <w:tcPr>
            <w:tcW w:w="1667" w:type="dxa"/>
            <w:tcBorders>
              <w:top w:val="single" w:sz="8" w:space="0" w:color="FFFFFF"/>
              <w:left w:val="single" w:sz="8" w:space="0" w:color="FFFFFF"/>
              <w:bottom w:val="single" w:sz="24" w:space="0" w:color="FFFFFF"/>
              <w:right w:val="single" w:sz="8" w:space="0" w:color="FFFFFF"/>
            </w:tcBorders>
            <w:shd w:val="clear" w:color="auto" w:fill="007E79"/>
            <w:tcMar>
              <w:top w:w="15" w:type="dxa"/>
              <w:left w:w="108" w:type="dxa"/>
              <w:bottom w:w="0" w:type="dxa"/>
              <w:right w:w="108" w:type="dxa"/>
            </w:tcMar>
            <w:vAlign w:val="center"/>
            <w:hideMark/>
          </w:tcPr>
          <w:p w14:paraId="0ED9A869" w14:textId="4593D707" w:rsidR="00B83E9D" w:rsidRDefault="00156EF2" w:rsidP="00B4285D">
            <w:pPr>
              <w:autoSpaceDE/>
              <w:autoSpaceDN/>
              <w:adjustRightInd/>
              <w:jc w:val="center"/>
              <w:textAlignment w:val="auto"/>
              <w:rPr>
                <w:rFonts w:cs="Arial"/>
                <w:b/>
                <w:bCs/>
                <w:color w:val="FFFFFF" w:themeColor="light1"/>
                <w:kern w:val="24"/>
                <w:szCs w:val="18"/>
              </w:rPr>
            </w:pPr>
            <w:r w:rsidRPr="00B83E9D">
              <w:rPr>
                <w:rFonts w:cs="Arial"/>
                <w:b/>
                <w:bCs/>
                <w:color w:val="FFFFFF" w:themeColor="light1"/>
                <w:kern w:val="24"/>
                <w:szCs w:val="18"/>
              </w:rPr>
              <w:t>202</w:t>
            </w:r>
            <w:r w:rsidR="007204F9">
              <w:rPr>
                <w:rFonts w:cs="Arial"/>
                <w:b/>
                <w:bCs/>
                <w:color w:val="FFFFFF" w:themeColor="light1"/>
                <w:kern w:val="24"/>
                <w:szCs w:val="18"/>
              </w:rPr>
              <w:t>1</w:t>
            </w:r>
            <w:r w:rsidRPr="00B83E9D">
              <w:rPr>
                <w:rFonts w:cs="Arial"/>
                <w:b/>
                <w:bCs/>
                <w:color w:val="FFFFFF" w:themeColor="light1"/>
                <w:kern w:val="24"/>
                <w:szCs w:val="18"/>
              </w:rPr>
              <w:t xml:space="preserve"> </w:t>
            </w:r>
          </w:p>
          <w:p w14:paraId="66D66CB7" w14:textId="2D8628D8" w:rsidR="00156EF2" w:rsidRPr="00B83E9D" w:rsidRDefault="00156EF2" w:rsidP="00B4285D">
            <w:pPr>
              <w:autoSpaceDE/>
              <w:autoSpaceDN/>
              <w:adjustRightInd/>
              <w:jc w:val="center"/>
              <w:textAlignment w:val="auto"/>
              <w:rPr>
                <w:rFonts w:cs="Arial"/>
                <w:szCs w:val="18"/>
              </w:rPr>
            </w:pPr>
            <w:r w:rsidRPr="00B83E9D">
              <w:rPr>
                <w:rFonts w:cs="Arial"/>
                <w:b/>
                <w:bCs/>
                <w:color w:val="FFFFFF" w:themeColor="light1"/>
                <w:kern w:val="24"/>
                <w:szCs w:val="18"/>
              </w:rPr>
              <w:t>(prognóza)</w:t>
            </w:r>
          </w:p>
        </w:tc>
        <w:tc>
          <w:tcPr>
            <w:tcW w:w="1330" w:type="dxa"/>
            <w:tcBorders>
              <w:top w:val="single" w:sz="8" w:space="0" w:color="FFFFFF"/>
              <w:left w:val="single" w:sz="8" w:space="0" w:color="FFFFFF"/>
              <w:bottom w:val="single" w:sz="24" w:space="0" w:color="FFFFFF"/>
              <w:right w:val="single" w:sz="8" w:space="0" w:color="FFFFFF"/>
            </w:tcBorders>
            <w:shd w:val="clear" w:color="auto" w:fill="007E79"/>
            <w:vAlign w:val="center"/>
          </w:tcPr>
          <w:p w14:paraId="38B58E05" w14:textId="674BBD8B" w:rsidR="00B83E9D" w:rsidRDefault="007204F9" w:rsidP="00B4285D">
            <w:pPr>
              <w:autoSpaceDE/>
              <w:autoSpaceDN/>
              <w:adjustRightInd/>
              <w:jc w:val="center"/>
              <w:textAlignment w:val="auto"/>
              <w:rPr>
                <w:rFonts w:cs="Arial"/>
                <w:b/>
                <w:bCs/>
                <w:color w:val="FFFFFF" w:themeColor="light1"/>
                <w:kern w:val="24"/>
                <w:szCs w:val="18"/>
              </w:rPr>
            </w:pPr>
            <w:r>
              <w:rPr>
                <w:rFonts w:cs="Arial"/>
                <w:b/>
                <w:bCs/>
                <w:color w:val="FFFFFF" w:themeColor="light1"/>
                <w:kern w:val="24"/>
                <w:szCs w:val="18"/>
              </w:rPr>
              <w:t>2022</w:t>
            </w:r>
            <w:r w:rsidR="00156EF2" w:rsidRPr="00B83E9D">
              <w:rPr>
                <w:rFonts w:cs="Arial"/>
                <w:b/>
                <w:bCs/>
                <w:color w:val="FFFFFF" w:themeColor="light1"/>
                <w:kern w:val="24"/>
                <w:szCs w:val="18"/>
              </w:rPr>
              <w:t xml:space="preserve"> </w:t>
            </w:r>
          </w:p>
          <w:p w14:paraId="5825E283" w14:textId="20C4CB3C" w:rsidR="00156EF2" w:rsidRPr="00B83E9D" w:rsidRDefault="00156EF2" w:rsidP="00B4285D">
            <w:pPr>
              <w:autoSpaceDE/>
              <w:autoSpaceDN/>
              <w:adjustRightInd/>
              <w:jc w:val="center"/>
              <w:textAlignment w:val="auto"/>
              <w:rPr>
                <w:rFonts w:cs="Arial"/>
                <w:b/>
                <w:bCs/>
                <w:color w:val="FFFFFF" w:themeColor="light1"/>
                <w:kern w:val="24"/>
                <w:szCs w:val="18"/>
              </w:rPr>
            </w:pPr>
            <w:r w:rsidRPr="00B83E9D">
              <w:rPr>
                <w:rFonts w:cs="Arial"/>
                <w:b/>
                <w:bCs/>
                <w:color w:val="FFFFFF" w:themeColor="light1"/>
                <w:kern w:val="24"/>
                <w:szCs w:val="18"/>
              </w:rPr>
              <w:t>(prognóza)</w:t>
            </w:r>
          </w:p>
        </w:tc>
      </w:tr>
      <w:tr w:rsidR="00156EF2" w:rsidRPr="0065675B" w14:paraId="6C6060CF" w14:textId="406F95A7" w:rsidTr="003123D0">
        <w:trPr>
          <w:trHeight w:val="89"/>
          <w:jc w:val="center"/>
        </w:trPr>
        <w:tc>
          <w:tcPr>
            <w:tcW w:w="5100" w:type="dxa"/>
            <w:tcBorders>
              <w:top w:val="single" w:sz="24"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vAlign w:val="center"/>
            <w:hideMark/>
          </w:tcPr>
          <w:p w14:paraId="15FB5585" w14:textId="77777777" w:rsidR="00156EF2" w:rsidRPr="00B83E9D" w:rsidRDefault="00156EF2" w:rsidP="00B4285D">
            <w:pPr>
              <w:autoSpaceDE/>
              <w:autoSpaceDN/>
              <w:adjustRightInd/>
              <w:jc w:val="left"/>
              <w:textAlignment w:val="auto"/>
              <w:rPr>
                <w:rFonts w:cs="Arial"/>
                <w:szCs w:val="18"/>
              </w:rPr>
            </w:pPr>
            <w:r w:rsidRPr="00B83E9D">
              <w:rPr>
                <w:rFonts w:cs="Arial"/>
                <w:b/>
                <w:bCs/>
                <w:color w:val="FFFFFF" w:themeColor="light1"/>
                <w:kern w:val="24"/>
                <w:szCs w:val="18"/>
              </w:rPr>
              <w:t>Růst reálného HDP (%)</w:t>
            </w:r>
          </w:p>
        </w:tc>
        <w:tc>
          <w:tcPr>
            <w:tcW w:w="2147" w:type="dxa"/>
            <w:tcBorders>
              <w:top w:val="single" w:sz="24"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0BA0394A" w14:textId="05F378FE" w:rsidR="00156EF2" w:rsidRPr="006C035F" w:rsidRDefault="006C035F" w:rsidP="00635F63">
            <w:pPr>
              <w:jc w:val="center"/>
              <w:rPr>
                <w:rFonts w:ascii="Calibri" w:hAnsi="Calibri" w:cs="Calibri"/>
                <w:b/>
                <w:bCs/>
                <w:color w:val="FF0000"/>
                <w:sz w:val="22"/>
                <w:szCs w:val="22"/>
              </w:rPr>
            </w:pPr>
            <w:r>
              <w:rPr>
                <w:rFonts w:ascii="Calibri" w:hAnsi="Calibri" w:cs="Calibri"/>
                <w:b/>
                <w:bCs/>
                <w:color w:val="FF0000"/>
                <w:sz w:val="22"/>
                <w:szCs w:val="22"/>
              </w:rPr>
              <w:t>-5,6</w:t>
            </w:r>
          </w:p>
        </w:tc>
        <w:tc>
          <w:tcPr>
            <w:tcW w:w="1667" w:type="dxa"/>
            <w:tcBorders>
              <w:top w:val="single" w:sz="24"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1CC27DCA" w14:textId="5CF90BA2" w:rsidR="00156EF2" w:rsidRPr="00B83E9D" w:rsidRDefault="00FA2D2A" w:rsidP="00B4285D">
            <w:pPr>
              <w:overflowPunct/>
              <w:autoSpaceDE/>
              <w:autoSpaceDN/>
              <w:adjustRightInd/>
              <w:jc w:val="center"/>
              <w:textAlignment w:val="bottom"/>
              <w:rPr>
                <w:rFonts w:eastAsia="PMingLiU" w:cs="Arial"/>
                <w:b/>
                <w:bCs/>
                <w:color w:val="000000"/>
                <w:kern w:val="24"/>
                <w:szCs w:val="18"/>
              </w:rPr>
            </w:pPr>
            <w:r>
              <w:rPr>
                <w:rFonts w:eastAsia="PMingLiU" w:cs="Arial"/>
                <w:b/>
                <w:bCs/>
                <w:color w:val="000000"/>
                <w:kern w:val="24"/>
                <w:szCs w:val="18"/>
              </w:rPr>
              <w:t>2,6</w:t>
            </w:r>
          </w:p>
        </w:tc>
        <w:tc>
          <w:tcPr>
            <w:tcW w:w="1330" w:type="dxa"/>
            <w:tcBorders>
              <w:top w:val="single" w:sz="24" w:space="0" w:color="FFFFFF"/>
              <w:left w:val="single" w:sz="8" w:space="0" w:color="FFFFFF"/>
              <w:bottom w:val="single" w:sz="8" w:space="0" w:color="FFFFFF"/>
              <w:right w:val="single" w:sz="8" w:space="0" w:color="FFFFFF"/>
            </w:tcBorders>
            <w:shd w:val="clear" w:color="auto" w:fill="BFBFBF"/>
            <w:vAlign w:val="center"/>
          </w:tcPr>
          <w:p w14:paraId="13CD0E3F" w14:textId="38C5CE6B" w:rsidR="00156EF2" w:rsidRPr="00B83E9D" w:rsidRDefault="0024553D" w:rsidP="00B4285D">
            <w:pPr>
              <w:overflowPunct/>
              <w:autoSpaceDE/>
              <w:autoSpaceDN/>
              <w:adjustRightInd/>
              <w:jc w:val="center"/>
              <w:textAlignment w:val="bottom"/>
              <w:rPr>
                <w:rFonts w:eastAsia="PMingLiU" w:cs="Arial"/>
                <w:b/>
                <w:bCs/>
                <w:color w:val="000000"/>
                <w:kern w:val="24"/>
                <w:szCs w:val="18"/>
              </w:rPr>
            </w:pPr>
            <w:r>
              <w:rPr>
                <w:rFonts w:eastAsia="PMingLiU" w:cs="Arial"/>
                <w:b/>
                <w:bCs/>
                <w:color w:val="000000"/>
                <w:kern w:val="24"/>
                <w:szCs w:val="18"/>
              </w:rPr>
              <w:t>4</w:t>
            </w:r>
            <w:r w:rsidR="00A4779D" w:rsidRPr="00B83E9D">
              <w:rPr>
                <w:rFonts w:eastAsia="PMingLiU" w:cs="Arial"/>
                <w:b/>
                <w:bCs/>
                <w:color w:val="000000"/>
                <w:kern w:val="24"/>
                <w:szCs w:val="18"/>
              </w:rPr>
              <w:t>,</w:t>
            </w:r>
            <w:r>
              <w:rPr>
                <w:rFonts w:eastAsia="PMingLiU" w:cs="Arial"/>
                <w:b/>
                <w:bCs/>
                <w:color w:val="000000"/>
                <w:kern w:val="24"/>
                <w:szCs w:val="18"/>
              </w:rPr>
              <w:t>6</w:t>
            </w:r>
          </w:p>
        </w:tc>
      </w:tr>
      <w:tr w:rsidR="00156EF2" w:rsidRPr="0065675B" w14:paraId="646474FC" w14:textId="3CA853EA" w:rsidTr="003123D0">
        <w:trPr>
          <w:trHeight w:val="93"/>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vAlign w:val="center"/>
            <w:hideMark/>
          </w:tcPr>
          <w:p w14:paraId="486EC867" w14:textId="77777777" w:rsidR="00156EF2" w:rsidRPr="00B83E9D" w:rsidRDefault="00156EF2" w:rsidP="00B4285D">
            <w:pPr>
              <w:autoSpaceDE/>
              <w:autoSpaceDN/>
              <w:adjustRightInd/>
              <w:jc w:val="left"/>
              <w:textAlignment w:val="auto"/>
              <w:rPr>
                <w:rFonts w:cs="Arial"/>
                <w:szCs w:val="18"/>
              </w:rPr>
            </w:pPr>
            <w:r w:rsidRPr="00B83E9D">
              <w:rPr>
                <w:rFonts w:cs="Arial"/>
                <w:b/>
                <w:bCs/>
                <w:color w:val="FFFFFF" w:themeColor="light1"/>
                <w:kern w:val="24"/>
                <w:szCs w:val="18"/>
              </w:rPr>
              <w:t>Podíl nezaměstnaných osob (MPSV): průměr (%)</w:t>
            </w:r>
          </w:p>
        </w:tc>
        <w:tc>
          <w:tcPr>
            <w:tcW w:w="214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0AAAA210" w14:textId="291ECE5E" w:rsidR="00156EF2" w:rsidRPr="006C035F" w:rsidRDefault="00383E25" w:rsidP="00635F63">
            <w:pPr>
              <w:jc w:val="center"/>
              <w:rPr>
                <w:rFonts w:ascii="Calibri" w:hAnsi="Calibri" w:cs="Calibri"/>
                <w:b/>
                <w:bCs/>
                <w:color w:val="FF0000"/>
                <w:sz w:val="22"/>
                <w:szCs w:val="22"/>
              </w:rPr>
            </w:pPr>
            <w:r>
              <w:rPr>
                <w:rFonts w:ascii="Calibri" w:hAnsi="Calibri" w:cs="Calibri"/>
                <w:b/>
                <w:bCs/>
                <w:color w:val="FF0000"/>
                <w:sz w:val="22"/>
                <w:szCs w:val="22"/>
              </w:rPr>
              <w:t>3,6</w:t>
            </w:r>
          </w:p>
        </w:tc>
        <w:tc>
          <w:tcPr>
            <w:tcW w:w="166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4F17F024" w14:textId="5202C73D" w:rsidR="00156EF2" w:rsidRPr="00B83E9D" w:rsidRDefault="00FA2D2A" w:rsidP="00B4285D">
            <w:pPr>
              <w:overflowPunct/>
              <w:autoSpaceDE/>
              <w:autoSpaceDN/>
              <w:adjustRightInd/>
              <w:jc w:val="center"/>
              <w:textAlignment w:val="bottom"/>
              <w:rPr>
                <w:rFonts w:eastAsia="PMingLiU" w:cs="Arial"/>
                <w:b/>
                <w:bCs/>
                <w:color w:val="000000"/>
                <w:kern w:val="24"/>
                <w:szCs w:val="18"/>
              </w:rPr>
            </w:pPr>
            <w:r>
              <w:rPr>
                <w:rFonts w:eastAsia="PMingLiU" w:cs="Arial"/>
                <w:b/>
                <w:bCs/>
                <w:color w:val="000000"/>
                <w:kern w:val="24"/>
                <w:szCs w:val="18"/>
              </w:rPr>
              <w:t>4,4</w:t>
            </w:r>
          </w:p>
        </w:tc>
        <w:tc>
          <w:tcPr>
            <w:tcW w:w="1330"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0A8075C" w14:textId="52F8B341" w:rsidR="00156EF2" w:rsidRPr="00B83E9D" w:rsidRDefault="0024553D" w:rsidP="00B4285D">
            <w:pPr>
              <w:overflowPunct/>
              <w:autoSpaceDE/>
              <w:autoSpaceDN/>
              <w:adjustRightInd/>
              <w:jc w:val="center"/>
              <w:textAlignment w:val="bottom"/>
              <w:rPr>
                <w:rFonts w:eastAsia="PMingLiU" w:cs="Arial"/>
                <w:b/>
                <w:bCs/>
                <w:color w:val="000000"/>
                <w:kern w:val="24"/>
                <w:szCs w:val="18"/>
              </w:rPr>
            </w:pPr>
            <w:r>
              <w:rPr>
                <w:rFonts w:eastAsia="PMingLiU" w:cs="Arial"/>
                <w:b/>
                <w:bCs/>
                <w:color w:val="000000"/>
                <w:kern w:val="24"/>
                <w:szCs w:val="18"/>
              </w:rPr>
              <w:t>3,9</w:t>
            </w:r>
          </w:p>
        </w:tc>
      </w:tr>
      <w:tr w:rsidR="00156EF2" w:rsidRPr="0065675B" w14:paraId="636D37C4" w14:textId="692F159B" w:rsidTr="003123D0">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vAlign w:val="center"/>
            <w:hideMark/>
          </w:tcPr>
          <w:p w14:paraId="7CE8D490" w14:textId="77777777" w:rsidR="00156EF2" w:rsidRPr="00B83E9D" w:rsidRDefault="00156EF2" w:rsidP="00B4285D">
            <w:pPr>
              <w:autoSpaceDE/>
              <w:autoSpaceDN/>
              <w:adjustRightInd/>
              <w:jc w:val="left"/>
              <w:textAlignment w:val="auto"/>
              <w:rPr>
                <w:rFonts w:cs="Arial"/>
                <w:szCs w:val="18"/>
              </w:rPr>
            </w:pPr>
            <w:r w:rsidRPr="00B83E9D">
              <w:rPr>
                <w:rFonts w:cs="Arial"/>
                <w:b/>
                <w:bCs/>
                <w:color w:val="FFFFFF" w:themeColor="light1"/>
                <w:kern w:val="24"/>
                <w:szCs w:val="18"/>
              </w:rPr>
              <w:t>Průměrná nominální mzda (růst v %)</w:t>
            </w:r>
          </w:p>
        </w:tc>
        <w:tc>
          <w:tcPr>
            <w:tcW w:w="214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3DA15EC4" w14:textId="5A9A4955" w:rsidR="00156EF2" w:rsidRPr="006C035F" w:rsidRDefault="00B64423" w:rsidP="00635F63">
            <w:pPr>
              <w:jc w:val="center"/>
              <w:rPr>
                <w:rFonts w:ascii="Calibri" w:hAnsi="Calibri" w:cs="Calibri"/>
                <w:b/>
                <w:bCs/>
                <w:color w:val="FF0000"/>
                <w:sz w:val="22"/>
                <w:szCs w:val="22"/>
              </w:rPr>
            </w:pPr>
            <w:r w:rsidRPr="00895EF3">
              <w:rPr>
                <w:rFonts w:ascii="Calibri" w:hAnsi="Calibri" w:cs="Calibri"/>
                <w:b/>
                <w:bCs/>
                <w:sz w:val="22"/>
                <w:szCs w:val="22"/>
              </w:rPr>
              <w:t>3,2</w:t>
            </w:r>
          </w:p>
        </w:tc>
        <w:tc>
          <w:tcPr>
            <w:tcW w:w="166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72BD4E2E" w14:textId="2928D7EC" w:rsidR="00156EF2" w:rsidRPr="00B83E9D" w:rsidRDefault="00A4779D" w:rsidP="00B4285D">
            <w:pPr>
              <w:overflowPunct/>
              <w:autoSpaceDE/>
              <w:autoSpaceDN/>
              <w:adjustRightInd/>
              <w:jc w:val="center"/>
              <w:textAlignment w:val="bottom"/>
              <w:rPr>
                <w:rFonts w:eastAsia="PMingLiU" w:cs="Arial"/>
                <w:b/>
                <w:bCs/>
                <w:color w:val="000000"/>
                <w:kern w:val="24"/>
                <w:szCs w:val="18"/>
              </w:rPr>
            </w:pPr>
            <w:r w:rsidRPr="00B83E9D">
              <w:rPr>
                <w:rFonts w:eastAsia="PMingLiU" w:cs="Arial"/>
                <w:b/>
                <w:bCs/>
                <w:color w:val="000000"/>
                <w:kern w:val="24"/>
                <w:szCs w:val="18"/>
              </w:rPr>
              <w:t>2,</w:t>
            </w:r>
            <w:r w:rsidR="0024553D">
              <w:rPr>
                <w:rFonts w:eastAsia="PMingLiU" w:cs="Arial"/>
                <w:b/>
                <w:bCs/>
                <w:color w:val="000000"/>
                <w:kern w:val="24"/>
                <w:szCs w:val="18"/>
              </w:rPr>
              <w:t>8</w:t>
            </w:r>
          </w:p>
        </w:tc>
        <w:tc>
          <w:tcPr>
            <w:tcW w:w="1330"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E5CDC8F" w14:textId="0B787039" w:rsidR="00156EF2" w:rsidRPr="00B83E9D" w:rsidRDefault="0024553D" w:rsidP="00B4285D">
            <w:pPr>
              <w:overflowPunct/>
              <w:autoSpaceDE/>
              <w:autoSpaceDN/>
              <w:adjustRightInd/>
              <w:jc w:val="center"/>
              <w:textAlignment w:val="bottom"/>
              <w:rPr>
                <w:rFonts w:eastAsia="PMingLiU" w:cs="Arial"/>
                <w:b/>
                <w:bCs/>
                <w:color w:val="000000"/>
                <w:kern w:val="24"/>
                <w:szCs w:val="18"/>
              </w:rPr>
            </w:pPr>
            <w:r>
              <w:rPr>
                <w:rFonts w:eastAsia="PMingLiU" w:cs="Arial"/>
                <w:b/>
                <w:bCs/>
                <w:color w:val="000000"/>
                <w:kern w:val="24"/>
                <w:szCs w:val="18"/>
              </w:rPr>
              <w:t>4,4</w:t>
            </w:r>
          </w:p>
        </w:tc>
      </w:tr>
      <w:tr w:rsidR="00156EF2" w:rsidRPr="0065675B" w14:paraId="3BA814CF" w14:textId="5B864073" w:rsidTr="003123D0">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vAlign w:val="center"/>
            <w:hideMark/>
          </w:tcPr>
          <w:p w14:paraId="70013A2F" w14:textId="77777777" w:rsidR="00156EF2" w:rsidRPr="00B83E9D" w:rsidRDefault="00156EF2" w:rsidP="00B4285D">
            <w:pPr>
              <w:autoSpaceDE/>
              <w:autoSpaceDN/>
              <w:adjustRightInd/>
              <w:jc w:val="left"/>
              <w:textAlignment w:val="auto"/>
              <w:rPr>
                <w:rFonts w:cs="Arial"/>
                <w:szCs w:val="18"/>
              </w:rPr>
            </w:pPr>
            <w:r w:rsidRPr="00B83E9D">
              <w:rPr>
                <w:rFonts w:cs="Arial"/>
                <w:b/>
                <w:bCs/>
                <w:color w:val="FFFFFF" w:themeColor="light1"/>
                <w:kern w:val="24"/>
                <w:szCs w:val="18"/>
              </w:rPr>
              <w:t>Míra inflace: CPI (%) průměr</w:t>
            </w:r>
          </w:p>
        </w:tc>
        <w:tc>
          <w:tcPr>
            <w:tcW w:w="214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07F5738C" w14:textId="79CFAAAF" w:rsidR="00156EF2" w:rsidRPr="00B83E9D" w:rsidRDefault="00014977" w:rsidP="00B4285D">
            <w:pPr>
              <w:overflowPunct/>
              <w:autoSpaceDE/>
              <w:autoSpaceDN/>
              <w:adjustRightInd/>
              <w:jc w:val="center"/>
              <w:textAlignment w:val="bottom"/>
              <w:rPr>
                <w:rFonts w:eastAsia="PMingLiU" w:cs="Arial"/>
                <w:b/>
                <w:bCs/>
                <w:color w:val="44546A" w:themeColor="text2"/>
                <w:kern w:val="24"/>
                <w:szCs w:val="18"/>
              </w:rPr>
            </w:pPr>
            <w:r w:rsidRPr="006C035F">
              <w:rPr>
                <w:rFonts w:eastAsia="PMingLiU" w:cs="Arial"/>
                <w:b/>
                <w:bCs/>
                <w:color w:val="FF0000"/>
                <w:kern w:val="24"/>
                <w:szCs w:val="18"/>
              </w:rPr>
              <w:t>3,2</w:t>
            </w:r>
          </w:p>
        </w:tc>
        <w:tc>
          <w:tcPr>
            <w:tcW w:w="166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6E5E8884" w14:textId="04158928" w:rsidR="00156EF2" w:rsidRPr="00B83E9D" w:rsidRDefault="0024553D" w:rsidP="00B4285D">
            <w:pPr>
              <w:overflowPunct/>
              <w:autoSpaceDE/>
              <w:autoSpaceDN/>
              <w:adjustRightInd/>
              <w:jc w:val="center"/>
              <w:textAlignment w:val="bottom"/>
              <w:rPr>
                <w:rFonts w:eastAsia="PMingLiU" w:cs="Arial"/>
                <w:b/>
                <w:bCs/>
                <w:color w:val="000000"/>
                <w:kern w:val="24"/>
                <w:szCs w:val="18"/>
              </w:rPr>
            </w:pPr>
            <w:r>
              <w:rPr>
                <w:rFonts w:eastAsia="PMingLiU" w:cs="Arial"/>
                <w:b/>
                <w:bCs/>
                <w:color w:val="000000"/>
                <w:kern w:val="24"/>
                <w:szCs w:val="18"/>
              </w:rPr>
              <w:t>2</w:t>
            </w:r>
            <w:r w:rsidR="00156EF2" w:rsidRPr="00B83E9D">
              <w:rPr>
                <w:rFonts w:eastAsia="PMingLiU" w:cs="Arial"/>
                <w:b/>
                <w:bCs/>
                <w:color w:val="000000"/>
                <w:kern w:val="24"/>
                <w:szCs w:val="18"/>
              </w:rPr>
              <w:t>,</w:t>
            </w:r>
            <w:r w:rsidR="00A4779D" w:rsidRPr="00B83E9D">
              <w:rPr>
                <w:rFonts w:eastAsia="PMingLiU" w:cs="Arial"/>
                <w:b/>
                <w:bCs/>
                <w:color w:val="000000"/>
                <w:kern w:val="24"/>
                <w:szCs w:val="18"/>
              </w:rPr>
              <w:t>2</w:t>
            </w:r>
          </w:p>
        </w:tc>
        <w:tc>
          <w:tcPr>
            <w:tcW w:w="1330"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8636833" w14:textId="16AC6DD3" w:rsidR="00156EF2" w:rsidRPr="00B83E9D" w:rsidRDefault="00A4779D" w:rsidP="00B4285D">
            <w:pPr>
              <w:overflowPunct/>
              <w:autoSpaceDE/>
              <w:autoSpaceDN/>
              <w:adjustRightInd/>
              <w:jc w:val="center"/>
              <w:textAlignment w:val="bottom"/>
              <w:rPr>
                <w:rFonts w:eastAsia="PMingLiU" w:cs="Arial"/>
                <w:b/>
                <w:bCs/>
                <w:color w:val="000000"/>
                <w:kern w:val="24"/>
                <w:szCs w:val="18"/>
              </w:rPr>
            </w:pPr>
            <w:r w:rsidRPr="00B83E9D">
              <w:rPr>
                <w:rFonts w:eastAsia="PMingLiU" w:cs="Arial"/>
                <w:b/>
                <w:bCs/>
                <w:color w:val="000000"/>
                <w:kern w:val="24"/>
                <w:szCs w:val="18"/>
              </w:rPr>
              <w:t>2,</w:t>
            </w:r>
            <w:r w:rsidR="0024553D">
              <w:rPr>
                <w:rFonts w:eastAsia="PMingLiU" w:cs="Arial"/>
                <w:b/>
                <w:bCs/>
                <w:color w:val="000000"/>
                <w:kern w:val="24"/>
                <w:szCs w:val="18"/>
              </w:rPr>
              <w:t>1</w:t>
            </w:r>
          </w:p>
        </w:tc>
      </w:tr>
      <w:tr w:rsidR="00156EF2" w:rsidRPr="0065675B" w14:paraId="521233EC" w14:textId="28A14000" w:rsidTr="003123D0">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vAlign w:val="center"/>
            <w:hideMark/>
          </w:tcPr>
          <w:p w14:paraId="3A330F8F" w14:textId="77777777" w:rsidR="00156EF2" w:rsidRPr="00B83E9D" w:rsidRDefault="00156EF2" w:rsidP="00B4285D">
            <w:pPr>
              <w:autoSpaceDE/>
              <w:autoSpaceDN/>
              <w:adjustRightInd/>
              <w:jc w:val="left"/>
              <w:textAlignment w:val="auto"/>
              <w:rPr>
                <w:rFonts w:cs="Arial"/>
                <w:szCs w:val="18"/>
              </w:rPr>
            </w:pPr>
            <w:r w:rsidRPr="00B83E9D">
              <w:rPr>
                <w:rFonts w:cs="Arial"/>
                <w:b/>
                <w:bCs/>
                <w:color w:val="FFFFFF" w:themeColor="light1"/>
                <w:kern w:val="24"/>
                <w:szCs w:val="18"/>
              </w:rPr>
              <w:t>Vládní deficit/přebytek (% HDP)</w:t>
            </w:r>
          </w:p>
        </w:tc>
        <w:tc>
          <w:tcPr>
            <w:tcW w:w="214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1FCBE628" w14:textId="69AD8C61" w:rsidR="00156EF2" w:rsidRPr="006C035F" w:rsidRDefault="00B64423" w:rsidP="00635F63">
            <w:pPr>
              <w:jc w:val="center"/>
              <w:rPr>
                <w:rFonts w:ascii="Calibri" w:hAnsi="Calibri" w:cs="Calibri"/>
                <w:b/>
                <w:bCs/>
                <w:sz w:val="22"/>
                <w:szCs w:val="22"/>
              </w:rPr>
            </w:pPr>
            <w:r>
              <w:rPr>
                <w:rFonts w:ascii="Calibri" w:hAnsi="Calibri" w:cs="Calibri"/>
                <w:b/>
                <w:bCs/>
                <w:sz w:val="22"/>
                <w:szCs w:val="22"/>
              </w:rPr>
              <w:t>-6,5</w:t>
            </w:r>
          </w:p>
        </w:tc>
        <w:tc>
          <w:tcPr>
            <w:tcW w:w="166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6C494613" w14:textId="57FD9BC6" w:rsidR="00156EF2" w:rsidRPr="00B83E9D" w:rsidRDefault="00B83E9D" w:rsidP="00B4285D">
            <w:pPr>
              <w:overflowPunct/>
              <w:autoSpaceDE/>
              <w:autoSpaceDN/>
              <w:adjustRightInd/>
              <w:jc w:val="center"/>
              <w:textAlignment w:val="bottom"/>
              <w:rPr>
                <w:rFonts w:eastAsia="PMingLiU" w:cs="Arial"/>
                <w:b/>
                <w:bCs/>
                <w:color w:val="000000"/>
                <w:kern w:val="24"/>
                <w:szCs w:val="18"/>
              </w:rPr>
            </w:pPr>
            <w:r w:rsidRPr="00B83E9D">
              <w:rPr>
                <w:rFonts w:eastAsia="PMingLiU" w:cs="Arial"/>
                <w:b/>
                <w:bCs/>
                <w:color w:val="000000"/>
                <w:kern w:val="24"/>
                <w:szCs w:val="18"/>
              </w:rPr>
              <w:t>-</w:t>
            </w:r>
            <w:r w:rsidR="0024553D">
              <w:rPr>
                <w:rFonts w:eastAsia="PMingLiU" w:cs="Arial"/>
                <w:b/>
                <w:bCs/>
                <w:color w:val="000000"/>
                <w:kern w:val="24"/>
                <w:szCs w:val="18"/>
              </w:rPr>
              <w:t xml:space="preserve"> 6,9 </w:t>
            </w:r>
          </w:p>
        </w:tc>
        <w:tc>
          <w:tcPr>
            <w:tcW w:w="1330"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D2100D0" w14:textId="418E1B66" w:rsidR="00156EF2" w:rsidRPr="00B83E9D" w:rsidRDefault="00B83E9D" w:rsidP="00B4285D">
            <w:pPr>
              <w:overflowPunct/>
              <w:autoSpaceDE/>
              <w:autoSpaceDN/>
              <w:adjustRightInd/>
              <w:jc w:val="center"/>
              <w:textAlignment w:val="bottom"/>
              <w:rPr>
                <w:rFonts w:eastAsia="PMingLiU" w:cs="Arial"/>
                <w:b/>
                <w:bCs/>
                <w:color w:val="000000"/>
                <w:kern w:val="24"/>
                <w:szCs w:val="18"/>
              </w:rPr>
            </w:pPr>
            <w:r>
              <w:rPr>
                <w:rFonts w:eastAsia="PMingLiU" w:cs="Arial"/>
                <w:b/>
                <w:bCs/>
                <w:color w:val="000000"/>
                <w:kern w:val="24"/>
                <w:szCs w:val="18"/>
              </w:rPr>
              <w:t xml:space="preserve">- </w:t>
            </w:r>
            <w:r w:rsidR="0024553D">
              <w:rPr>
                <w:rFonts w:eastAsia="PMingLiU" w:cs="Arial"/>
                <w:b/>
                <w:bCs/>
                <w:color w:val="000000"/>
                <w:kern w:val="24"/>
                <w:szCs w:val="18"/>
              </w:rPr>
              <w:t>4,1</w:t>
            </w:r>
          </w:p>
        </w:tc>
      </w:tr>
      <w:tr w:rsidR="00156EF2" w:rsidRPr="0065675B" w14:paraId="14378C53" w14:textId="062909FA" w:rsidTr="003123D0">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vAlign w:val="center"/>
            <w:hideMark/>
          </w:tcPr>
          <w:p w14:paraId="1F5EC9AA" w14:textId="77777777" w:rsidR="00156EF2" w:rsidRPr="00B83E9D" w:rsidRDefault="00156EF2" w:rsidP="00B4285D">
            <w:pPr>
              <w:autoSpaceDE/>
              <w:autoSpaceDN/>
              <w:adjustRightInd/>
              <w:jc w:val="left"/>
              <w:textAlignment w:val="auto"/>
              <w:rPr>
                <w:rFonts w:cs="Arial"/>
                <w:szCs w:val="18"/>
              </w:rPr>
            </w:pPr>
            <w:r w:rsidRPr="00B83E9D">
              <w:rPr>
                <w:rFonts w:cs="Arial"/>
                <w:b/>
                <w:bCs/>
                <w:color w:val="FFFFFF" w:themeColor="light1"/>
                <w:kern w:val="24"/>
                <w:szCs w:val="18"/>
              </w:rPr>
              <w:t xml:space="preserve">Vládní dluh (% HDP) </w:t>
            </w:r>
          </w:p>
        </w:tc>
        <w:tc>
          <w:tcPr>
            <w:tcW w:w="214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394CED1C" w14:textId="1EE8238F" w:rsidR="00156EF2" w:rsidRPr="006C035F" w:rsidRDefault="006C035F" w:rsidP="00635F63">
            <w:pPr>
              <w:jc w:val="center"/>
              <w:rPr>
                <w:rFonts w:ascii="Calibri" w:hAnsi="Calibri" w:cs="Calibri"/>
                <w:b/>
                <w:bCs/>
                <w:sz w:val="22"/>
                <w:szCs w:val="22"/>
              </w:rPr>
            </w:pPr>
            <w:r w:rsidRPr="006C035F">
              <w:rPr>
                <w:rFonts w:ascii="Calibri" w:hAnsi="Calibri" w:cs="Calibri"/>
                <w:b/>
                <w:bCs/>
                <w:sz w:val="22"/>
                <w:szCs w:val="22"/>
              </w:rPr>
              <w:t>37,7</w:t>
            </w:r>
          </w:p>
        </w:tc>
        <w:tc>
          <w:tcPr>
            <w:tcW w:w="166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57312A7B" w14:textId="7ADF0DE1" w:rsidR="00156EF2" w:rsidRPr="00B83E9D" w:rsidRDefault="0024553D" w:rsidP="00B4285D">
            <w:pPr>
              <w:overflowPunct/>
              <w:autoSpaceDE/>
              <w:autoSpaceDN/>
              <w:adjustRightInd/>
              <w:jc w:val="center"/>
              <w:textAlignment w:val="bottom"/>
              <w:rPr>
                <w:rFonts w:eastAsia="PMingLiU" w:cs="Arial"/>
                <w:b/>
                <w:bCs/>
                <w:color w:val="000000"/>
                <w:kern w:val="24"/>
                <w:szCs w:val="18"/>
              </w:rPr>
            </w:pPr>
            <w:r>
              <w:rPr>
                <w:rFonts w:eastAsia="PMingLiU" w:cs="Arial"/>
                <w:b/>
                <w:bCs/>
                <w:color w:val="000000"/>
                <w:kern w:val="24"/>
                <w:szCs w:val="18"/>
              </w:rPr>
              <w:t>43</w:t>
            </w:r>
            <w:r w:rsidR="00156EF2" w:rsidRPr="00B83E9D">
              <w:rPr>
                <w:rFonts w:eastAsia="PMingLiU" w:cs="Arial"/>
                <w:b/>
                <w:bCs/>
                <w:color w:val="000000"/>
                <w:kern w:val="24"/>
                <w:szCs w:val="18"/>
              </w:rPr>
              <w:t>,</w:t>
            </w:r>
            <w:r w:rsidR="00D61603" w:rsidRPr="00B83E9D">
              <w:rPr>
                <w:rFonts w:eastAsia="PMingLiU" w:cs="Arial"/>
                <w:b/>
                <w:bCs/>
                <w:color w:val="000000"/>
                <w:kern w:val="24"/>
                <w:szCs w:val="18"/>
              </w:rPr>
              <w:t>3</w:t>
            </w:r>
          </w:p>
        </w:tc>
        <w:tc>
          <w:tcPr>
            <w:tcW w:w="1330"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F706A33" w14:textId="05E0066C" w:rsidR="00156EF2" w:rsidRPr="00B83E9D" w:rsidRDefault="003E31EA" w:rsidP="00B4285D">
            <w:pPr>
              <w:overflowPunct/>
              <w:autoSpaceDE/>
              <w:autoSpaceDN/>
              <w:adjustRightInd/>
              <w:jc w:val="center"/>
              <w:textAlignment w:val="bottom"/>
              <w:rPr>
                <w:rFonts w:eastAsia="PMingLiU" w:cs="Arial"/>
                <w:b/>
                <w:bCs/>
                <w:color w:val="000000"/>
                <w:kern w:val="24"/>
                <w:szCs w:val="18"/>
              </w:rPr>
            </w:pPr>
            <w:r w:rsidRPr="00B83E9D">
              <w:rPr>
                <w:rFonts w:eastAsia="PMingLiU" w:cs="Arial"/>
                <w:b/>
                <w:bCs/>
                <w:color w:val="000000"/>
                <w:kern w:val="24"/>
                <w:szCs w:val="18"/>
              </w:rPr>
              <w:t>4</w:t>
            </w:r>
            <w:r w:rsidR="0024553D">
              <w:rPr>
                <w:rFonts w:eastAsia="PMingLiU" w:cs="Arial"/>
                <w:b/>
                <w:bCs/>
                <w:color w:val="000000"/>
                <w:kern w:val="24"/>
                <w:szCs w:val="18"/>
              </w:rPr>
              <w:t>5</w:t>
            </w:r>
            <w:r w:rsidRPr="00B83E9D">
              <w:rPr>
                <w:rFonts w:eastAsia="PMingLiU" w:cs="Arial"/>
                <w:b/>
                <w:bCs/>
                <w:color w:val="000000"/>
                <w:kern w:val="24"/>
                <w:szCs w:val="18"/>
              </w:rPr>
              <w:t>,</w:t>
            </w:r>
            <w:r w:rsidR="0024553D">
              <w:rPr>
                <w:rFonts w:eastAsia="PMingLiU" w:cs="Arial"/>
                <w:b/>
                <w:bCs/>
                <w:color w:val="000000"/>
                <w:kern w:val="24"/>
                <w:szCs w:val="18"/>
              </w:rPr>
              <w:t>1</w:t>
            </w:r>
          </w:p>
        </w:tc>
      </w:tr>
      <w:tr w:rsidR="00156EF2" w:rsidRPr="0065675B" w14:paraId="552BE0D0" w14:textId="46A71113" w:rsidTr="003123D0">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vAlign w:val="center"/>
            <w:hideMark/>
          </w:tcPr>
          <w:p w14:paraId="320F0540" w14:textId="77777777" w:rsidR="00156EF2" w:rsidRPr="00B83E9D" w:rsidRDefault="00156EF2" w:rsidP="00B4285D">
            <w:pPr>
              <w:autoSpaceDE/>
              <w:autoSpaceDN/>
              <w:adjustRightInd/>
              <w:jc w:val="left"/>
              <w:textAlignment w:val="auto"/>
              <w:rPr>
                <w:rFonts w:cs="Arial"/>
                <w:szCs w:val="18"/>
              </w:rPr>
            </w:pPr>
            <w:r w:rsidRPr="00B83E9D">
              <w:rPr>
                <w:rFonts w:cs="Arial"/>
                <w:b/>
                <w:bCs/>
                <w:color w:val="FFFFFF" w:themeColor="light1"/>
                <w:kern w:val="24"/>
                <w:szCs w:val="18"/>
              </w:rPr>
              <w:t>Růst spotřeby domácností (%) reálně</w:t>
            </w:r>
          </w:p>
        </w:tc>
        <w:tc>
          <w:tcPr>
            <w:tcW w:w="214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63152515" w14:textId="537EE6B0" w:rsidR="00156EF2" w:rsidRPr="0024553D" w:rsidRDefault="00B64423" w:rsidP="00635F63">
            <w:pPr>
              <w:jc w:val="center"/>
              <w:rPr>
                <w:rFonts w:ascii="Calibri" w:hAnsi="Calibri" w:cs="Calibri"/>
                <w:b/>
                <w:bCs/>
                <w:sz w:val="22"/>
                <w:szCs w:val="22"/>
              </w:rPr>
            </w:pPr>
            <w:r w:rsidRPr="0024553D">
              <w:rPr>
                <w:rFonts w:ascii="Calibri" w:hAnsi="Calibri" w:cs="Calibri"/>
                <w:b/>
                <w:bCs/>
                <w:sz w:val="22"/>
                <w:szCs w:val="22"/>
              </w:rPr>
              <w:t>-4,8</w:t>
            </w:r>
          </w:p>
        </w:tc>
        <w:tc>
          <w:tcPr>
            <w:tcW w:w="166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3D3C80F4" w14:textId="11FAC7C9" w:rsidR="00156EF2" w:rsidRPr="00B83E9D" w:rsidRDefault="0024553D" w:rsidP="00B4285D">
            <w:pPr>
              <w:overflowPunct/>
              <w:autoSpaceDE/>
              <w:autoSpaceDN/>
              <w:adjustRightInd/>
              <w:jc w:val="center"/>
              <w:textAlignment w:val="bottom"/>
              <w:rPr>
                <w:rFonts w:eastAsia="PMingLiU" w:cs="Arial"/>
                <w:b/>
                <w:bCs/>
                <w:color w:val="000000"/>
                <w:kern w:val="24"/>
                <w:szCs w:val="18"/>
              </w:rPr>
            </w:pPr>
            <w:r>
              <w:rPr>
                <w:rFonts w:eastAsia="PMingLiU" w:cs="Arial"/>
                <w:b/>
                <w:bCs/>
                <w:color w:val="000000"/>
                <w:kern w:val="24"/>
                <w:szCs w:val="18"/>
              </w:rPr>
              <w:t>2,5</w:t>
            </w:r>
          </w:p>
        </w:tc>
        <w:tc>
          <w:tcPr>
            <w:tcW w:w="1330"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1246EB22" w14:textId="1CB39120" w:rsidR="00156EF2" w:rsidRPr="00B83E9D" w:rsidRDefault="0024553D" w:rsidP="00B4285D">
            <w:pPr>
              <w:overflowPunct/>
              <w:autoSpaceDE/>
              <w:autoSpaceDN/>
              <w:adjustRightInd/>
              <w:jc w:val="center"/>
              <w:textAlignment w:val="bottom"/>
              <w:rPr>
                <w:rFonts w:eastAsia="PMingLiU" w:cs="Arial"/>
                <w:b/>
                <w:bCs/>
                <w:color w:val="000000"/>
                <w:kern w:val="24"/>
                <w:szCs w:val="18"/>
              </w:rPr>
            </w:pPr>
            <w:r>
              <w:rPr>
                <w:rFonts w:eastAsia="PMingLiU" w:cs="Arial"/>
                <w:b/>
                <w:bCs/>
                <w:color w:val="000000"/>
                <w:kern w:val="24"/>
                <w:szCs w:val="18"/>
              </w:rPr>
              <w:t>3,1</w:t>
            </w:r>
          </w:p>
        </w:tc>
      </w:tr>
      <w:tr w:rsidR="00156EF2" w:rsidRPr="0065675B" w14:paraId="1648A5F3" w14:textId="45B73A0A" w:rsidTr="003123D0">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vAlign w:val="center"/>
            <w:hideMark/>
          </w:tcPr>
          <w:p w14:paraId="0F5C730B" w14:textId="77777777" w:rsidR="00156EF2" w:rsidRPr="00B83E9D" w:rsidRDefault="00156EF2" w:rsidP="00B4285D">
            <w:pPr>
              <w:autoSpaceDE/>
              <w:autoSpaceDN/>
              <w:adjustRightInd/>
              <w:jc w:val="left"/>
              <w:textAlignment w:val="auto"/>
              <w:rPr>
                <w:rFonts w:cs="Arial"/>
                <w:szCs w:val="18"/>
              </w:rPr>
            </w:pPr>
            <w:r w:rsidRPr="00B83E9D">
              <w:rPr>
                <w:rFonts w:cs="Arial"/>
                <w:b/>
                <w:bCs/>
                <w:color w:val="FFFFFF" w:themeColor="light1"/>
                <w:kern w:val="24"/>
                <w:szCs w:val="18"/>
              </w:rPr>
              <w:t>Růst vládní spotřeby (%) reálně</w:t>
            </w:r>
          </w:p>
        </w:tc>
        <w:tc>
          <w:tcPr>
            <w:tcW w:w="214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2D257DD9" w14:textId="546D7751" w:rsidR="00156EF2" w:rsidRPr="0024553D" w:rsidRDefault="00B64423" w:rsidP="00635F63">
            <w:pPr>
              <w:jc w:val="center"/>
              <w:rPr>
                <w:rFonts w:ascii="Calibri" w:hAnsi="Calibri" w:cs="Calibri"/>
                <w:b/>
                <w:bCs/>
                <w:sz w:val="22"/>
                <w:szCs w:val="22"/>
              </w:rPr>
            </w:pPr>
            <w:r w:rsidRPr="0024553D">
              <w:rPr>
                <w:rFonts w:ascii="Calibri" w:hAnsi="Calibri" w:cs="Calibri"/>
                <w:b/>
                <w:bCs/>
                <w:sz w:val="22"/>
                <w:szCs w:val="22"/>
              </w:rPr>
              <w:t>1,9</w:t>
            </w:r>
          </w:p>
        </w:tc>
        <w:tc>
          <w:tcPr>
            <w:tcW w:w="166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1259B385" w14:textId="4A7DF189" w:rsidR="00156EF2" w:rsidRPr="00B83E9D" w:rsidRDefault="0024553D" w:rsidP="00B4285D">
            <w:pPr>
              <w:overflowPunct/>
              <w:autoSpaceDE/>
              <w:autoSpaceDN/>
              <w:adjustRightInd/>
              <w:jc w:val="center"/>
              <w:textAlignment w:val="bottom"/>
              <w:rPr>
                <w:rFonts w:eastAsia="PMingLiU" w:cs="Arial"/>
                <w:b/>
                <w:bCs/>
                <w:color w:val="000000"/>
                <w:kern w:val="24"/>
                <w:szCs w:val="18"/>
              </w:rPr>
            </w:pPr>
            <w:r>
              <w:rPr>
                <w:rFonts w:eastAsia="PMingLiU" w:cs="Arial"/>
                <w:b/>
                <w:bCs/>
                <w:color w:val="000000"/>
                <w:kern w:val="24"/>
                <w:szCs w:val="18"/>
              </w:rPr>
              <w:t>1</w:t>
            </w:r>
            <w:r w:rsidR="00A4779D" w:rsidRPr="00B83E9D">
              <w:rPr>
                <w:rFonts w:eastAsia="PMingLiU" w:cs="Arial"/>
                <w:b/>
                <w:bCs/>
                <w:color w:val="000000"/>
                <w:kern w:val="24"/>
                <w:szCs w:val="18"/>
              </w:rPr>
              <w:t>,</w:t>
            </w:r>
            <w:r>
              <w:rPr>
                <w:rFonts w:eastAsia="PMingLiU" w:cs="Arial"/>
                <w:b/>
                <w:bCs/>
                <w:color w:val="000000"/>
                <w:kern w:val="24"/>
                <w:szCs w:val="18"/>
              </w:rPr>
              <w:t>3</w:t>
            </w:r>
          </w:p>
        </w:tc>
        <w:tc>
          <w:tcPr>
            <w:tcW w:w="1330"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13A5E70" w14:textId="315707B2" w:rsidR="00156EF2" w:rsidRPr="00B83E9D" w:rsidRDefault="0024553D" w:rsidP="00B4285D">
            <w:pPr>
              <w:overflowPunct/>
              <w:autoSpaceDE/>
              <w:autoSpaceDN/>
              <w:adjustRightInd/>
              <w:jc w:val="center"/>
              <w:textAlignment w:val="bottom"/>
              <w:rPr>
                <w:rFonts w:eastAsia="PMingLiU" w:cs="Arial"/>
                <w:b/>
                <w:bCs/>
                <w:color w:val="000000"/>
                <w:kern w:val="24"/>
                <w:szCs w:val="18"/>
              </w:rPr>
            </w:pPr>
            <w:r>
              <w:rPr>
                <w:rFonts w:eastAsia="PMingLiU" w:cs="Arial"/>
                <w:b/>
                <w:bCs/>
                <w:color w:val="000000"/>
                <w:kern w:val="24"/>
                <w:szCs w:val="18"/>
              </w:rPr>
              <w:t>1,1</w:t>
            </w:r>
          </w:p>
        </w:tc>
      </w:tr>
      <w:tr w:rsidR="00156EF2" w:rsidRPr="0065675B" w14:paraId="4EA7D3E3" w14:textId="5745A921" w:rsidTr="003123D0">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vAlign w:val="center"/>
            <w:hideMark/>
          </w:tcPr>
          <w:p w14:paraId="7C130A54" w14:textId="77777777" w:rsidR="00156EF2" w:rsidRPr="00B83E9D" w:rsidRDefault="00156EF2" w:rsidP="00B4285D">
            <w:pPr>
              <w:autoSpaceDE/>
              <w:autoSpaceDN/>
              <w:adjustRightInd/>
              <w:jc w:val="left"/>
              <w:textAlignment w:val="auto"/>
              <w:rPr>
                <w:rFonts w:cs="Arial"/>
                <w:szCs w:val="18"/>
              </w:rPr>
            </w:pPr>
            <w:r w:rsidRPr="00B83E9D">
              <w:rPr>
                <w:rFonts w:cs="Arial"/>
                <w:b/>
                <w:bCs/>
                <w:color w:val="FFFFFF" w:themeColor="light1"/>
                <w:kern w:val="24"/>
                <w:szCs w:val="18"/>
              </w:rPr>
              <w:t>Růst investic (%) reálně</w:t>
            </w:r>
          </w:p>
        </w:tc>
        <w:tc>
          <w:tcPr>
            <w:tcW w:w="214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2F7437F0" w14:textId="0D41045A" w:rsidR="00156EF2" w:rsidRPr="0024553D" w:rsidRDefault="00B64423" w:rsidP="00635F63">
            <w:pPr>
              <w:jc w:val="center"/>
              <w:rPr>
                <w:rFonts w:ascii="Calibri" w:hAnsi="Calibri" w:cs="Calibri"/>
                <w:b/>
                <w:bCs/>
                <w:sz w:val="22"/>
                <w:szCs w:val="22"/>
              </w:rPr>
            </w:pPr>
            <w:r w:rsidRPr="0024553D">
              <w:rPr>
                <w:rFonts w:ascii="Calibri" w:hAnsi="Calibri" w:cs="Calibri"/>
                <w:b/>
                <w:bCs/>
                <w:sz w:val="22"/>
                <w:szCs w:val="22"/>
              </w:rPr>
              <w:t>-8,6</w:t>
            </w:r>
          </w:p>
        </w:tc>
        <w:tc>
          <w:tcPr>
            <w:tcW w:w="166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1892B148" w14:textId="2F1C1375" w:rsidR="00156EF2" w:rsidRPr="00B83E9D" w:rsidRDefault="0024553D" w:rsidP="00B4285D">
            <w:pPr>
              <w:overflowPunct/>
              <w:autoSpaceDE/>
              <w:autoSpaceDN/>
              <w:adjustRightInd/>
              <w:jc w:val="center"/>
              <w:textAlignment w:val="bottom"/>
              <w:rPr>
                <w:rFonts w:eastAsia="PMingLiU" w:cs="Arial"/>
                <w:b/>
                <w:bCs/>
                <w:color w:val="000000"/>
                <w:kern w:val="24"/>
                <w:szCs w:val="18"/>
              </w:rPr>
            </w:pPr>
            <w:r>
              <w:rPr>
                <w:rFonts w:eastAsia="PMingLiU" w:cs="Arial"/>
                <w:b/>
                <w:bCs/>
                <w:color w:val="000000"/>
                <w:kern w:val="24"/>
                <w:szCs w:val="18"/>
              </w:rPr>
              <w:t>1,3</w:t>
            </w:r>
          </w:p>
        </w:tc>
        <w:tc>
          <w:tcPr>
            <w:tcW w:w="1330"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6764AE7" w14:textId="722540C7" w:rsidR="00156EF2" w:rsidRPr="00B83E9D" w:rsidRDefault="0024553D" w:rsidP="00B4285D">
            <w:pPr>
              <w:overflowPunct/>
              <w:autoSpaceDE/>
              <w:autoSpaceDN/>
              <w:adjustRightInd/>
              <w:jc w:val="center"/>
              <w:textAlignment w:val="bottom"/>
              <w:rPr>
                <w:rFonts w:eastAsia="PMingLiU" w:cs="Arial"/>
                <w:b/>
                <w:bCs/>
                <w:color w:val="000000"/>
                <w:kern w:val="24"/>
                <w:szCs w:val="18"/>
              </w:rPr>
            </w:pPr>
            <w:r>
              <w:rPr>
                <w:rFonts w:eastAsia="PMingLiU" w:cs="Arial"/>
                <w:b/>
                <w:bCs/>
                <w:color w:val="000000"/>
                <w:kern w:val="24"/>
                <w:szCs w:val="18"/>
              </w:rPr>
              <w:t>7,0</w:t>
            </w:r>
          </w:p>
        </w:tc>
      </w:tr>
      <w:tr w:rsidR="00156EF2" w:rsidRPr="0065675B" w14:paraId="10E01B12" w14:textId="77777777" w:rsidTr="003123D0">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vAlign w:val="center"/>
          </w:tcPr>
          <w:p w14:paraId="5926DDE6" w14:textId="5B6E0CA7" w:rsidR="00156EF2" w:rsidRPr="00B83E9D" w:rsidRDefault="00156EF2" w:rsidP="00B4285D">
            <w:pPr>
              <w:autoSpaceDE/>
              <w:autoSpaceDN/>
              <w:adjustRightInd/>
              <w:jc w:val="left"/>
              <w:textAlignment w:val="auto"/>
              <w:rPr>
                <w:rFonts w:cs="Arial"/>
                <w:b/>
                <w:bCs/>
                <w:color w:val="FFFFFF" w:themeColor="light1"/>
                <w:kern w:val="24"/>
                <w:szCs w:val="18"/>
              </w:rPr>
            </w:pPr>
            <w:r w:rsidRPr="00B83E9D">
              <w:rPr>
                <w:rFonts w:cs="Arial"/>
                <w:b/>
                <w:bCs/>
                <w:color w:val="FFFFFF" w:themeColor="light1"/>
                <w:kern w:val="24"/>
                <w:szCs w:val="18"/>
              </w:rPr>
              <w:t>Růst vývozů (%) reálně</w:t>
            </w:r>
          </w:p>
        </w:tc>
        <w:tc>
          <w:tcPr>
            <w:tcW w:w="214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1654F6FA" w14:textId="4B99F0F7" w:rsidR="00156EF2" w:rsidRPr="0024553D" w:rsidRDefault="00B64423" w:rsidP="00635F63">
            <w:pPr>
              <w:jc w:val="center"/>
              <w:rPr>
                <w:rFonts w:ascii="Calibri" w:hAnsi="Calibri" w:cs="Calibri"/>
                <w:b/>
                <w:bCs/>
                <w:sz w:val="22"/>
                <w:szCs w:val="22"/>
              </w:rPr>
            </w:pPr>
            <w:r w:rsidRPr="0024553D">
              <w:rPr>
                <w:rFonts w:ascii="Calibri" w:hAnsi="Calibri" w:cs="Calibri"/>
                <w:b/>
                <w:bCs/>
                <w:sz w:val="22"/>
                <w:szCs w:val="22"/>
              </w:rPr>
              <w:t>-8,6</w:t>
            </w:r>
          </w:p>
        </w:tc>
        <w:tc>
          <w:tcPr>
            <w:tcW w:w="166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5493902A" w14:textId="30E52BBB" w:rsidR="00156EF2" w:rsidRPr="00B83E9D" w:rsidRDefault="0024553D" w:rsidP="00B4285D">
            <w:pPr>
              <w:overflowPunct/>
              <w:autoSpaceDE/>
              <w:autoSpaceDN/>
              <w:adjustRightInd/>
              <w:jc w:val="center"/>
              <w:textAlignment w:val="bottom"/>
              <w:rPr>
                <w:rFonts w:eastAsia="PMingLiU" w:cs="Arial"/>
                <w:b/>
                <w:bCs/>
                <w:color w:val="000000"/>
                <w:kern w:val="24"/>
                <w:szCs w:val="18"/>
              </w:rPr>
            </w:pPr>
            <w:r>
              <w:rPr>
                <w:rFonts w:eastAsia="PMingLiU" w:cs="Arial"/>
                <w:b/>
                <w:bCs/>
                <w:color w:val="000000"/>
                <w:kern w:val="24"/>
                <w:szCs w:val="18"/>
              </w:rPr>
              <w:t>5,8</w:t>
            </w:r>
          </w:p>
        </w:tc>
        <w:tc>
          <w:tcPr>
            <w:tcW w:w="1330"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C0E6FB4" w14:textId="33FD6806" w:rsidR="00156EF2" w:rsidRPr="00B83E9D" w:rsidRDefault="000C552C" w:rsidP="00B4285D">
            <w:pPr>
              <w:overflowPunct/>
              <w:autoSpaceDE/>
              <w:autoSpaceDN/>
              <w:adjustRightInd/>
              <w:jc w:val="center"/>
              <w:textAlignment w:val="bottom"/>
              <w:rPr>
                <w:rFonts w:eastAsia="PMingLiU" w:cs="Arial"/>
                <w:b/>
                <w:bCs/>
                <w:color w:val="000000"/>
                <w:kern w:val="24"/>
                <w:szCs w:val="18"/>
              </w:rPr>
            </w:pPr>
            <w:r w:rsidRPr="00B83E9D">
              <w:rPr>
                <w:rFonts w:eastAsia="PMingLiU" w:cs="Arial"/>
                <w:b/>
                <w:bCs/>
                <w:color w:val="000000"/>
                <w:kern w:val="24"/>
                <w:szCs w:val="18"/>
              </w:rPr>
              <w:t>6,</w:t>
            </w:r>
            <w:r w:rsidR="0024553D">
              <w:rPr>
                <w:rFonts w:eastAsia="PMingLiU" w:cs="Arial"/>
                <w:b/>
                <w:bCs/>
                <w:color w:val="000000"/>
                <w:kern w:val="24"/>
                <w:szCs w:val="18"/>
              </w:rPr>
              <w:t>4</w:t>
            </w:r>
          </w:p>
        </w:tc>
      </w:tr>
      <w:tr w:rsidR="00156EF2" w:rsidRPr="0065675B" w14:paraId="630C8A48" w14:textId="77777777" w:rsidTr="003123D0">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vAlign w:val="center"/>
          </w:tcPr>
          <w:p w14:paraId="4D925B36" w14:textId="5F366F9C" w:rsidR="00156EF2" w:rsidRPr="00B83E9D" w:rsidRDefault="00156EF2" w:rsidP="00B4285D">
            <w:pPr>
              <w:autoSpaceDE/>
              <w:autoSpaceDN/>
              <w:adjustRightInd/>
              <w:jc w:val="left"/>
              <w:textAlignment w:val="auto"/>
              <w:rPr>
                <w:rFonts w:cs="Arial"/>
                <w:b/>
                <w:bCs/>
                <w:color w:val="FFFFFF" w:themeColor="light1"/>
                <w:kern w:val="24"/>
                <w:szCs w:val="18"/>
              </w:rPr>
            </w:pPr>
            <w:r w:rsidRPr="00B83E9D">
              <w:rPr>
                <w:rFonts w:cs="Arial"/>
                <w:b/>
                <w:bCs/>
                <w:color w:val="FFFFFF" w:themeColor="light1"/>
                <w:kern w:val="24"/>
                <w:szCs w:val="18"/>
              </w:rPr>
              <w:t>Růst dovozů (%) reálně</w:t>
            </w:r>
          </w:p>
        </w:tc>
        <w:tc>
          <w:tcPr>
            <w:tcW w:w="214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66286ABA" w14:textId="7F249127" w:rsidR="00156EF2" w:rsidRPr="0024553D" w:rsidRDefault="00B64423" w:rsidP="00635F63">
            <w:pPr>
              <w:jc w:val="center"/>
              <w:rPr>
                <w:rFonts w:ascii="Calibri" w:hAnsi="Calibri" w:cs="Calibri"/>
                <w:b/>
                <w:bCs/>
                <w:sz w:val="22"/>
                <w:szCs w:val="22"/>
              </w:rPr>
            </w:pPr>
            <w:r w:rsidRPr="0024553D">
              <w:rPr>
                <w:rFonts w:ascii="Calibri" w:hAnsi="Calibri" w:cs="Calibri"/>
                <w:b/>
                <w:bCs/>
                <w:sz w:val="22"/>
                <w:szCs w:val="22"/>
              </w:rPr>
              <w:t>-7,5</w:t>
            </w:r>
          </w:p>
        </w:tc>
        <w:tc>
          <w:tcPr>
            <w:tcW w:w="166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379357BC" w14:textId="75328E6A" w:rsidR="00156EF2" w:rsidRPr="00B83E9D" w:rsidRDefault="0024553D" w:rsidP="00B4285D">
            <w:pPr>
              <w:overflowPunct/>
              <w:autoSpaceDE/>
              <w:autoSpaceDN/>
              <w:adjustRightInd/>
              <w:jc w:val="center"/>
              <w:textAlignment w:val="bottom"/>
              <w:rPr>
                <w:rFonts w:eastAsia="PMingLiU" w:cs="Arial"/>
                <w:b/>
                <w:bCs/>
                <w:color w:val="000000"/>
                <w:kern w:val="24"/>
                <w:szCs w:val="18"/>
              </w:rPr>
            </w:pPr>
            <w:r>
              <w:rPr>
                <w:rFonts w:eastAsia="PMingLiU" w:cs="Arial"/>
                <w:b/>
                <w:bCs/>
                <w:color w:val="000000"/>
                <w:kern w:val="24"/>
                <w:szCs w:val="18"/>
              </w:rPr>
              <w:t>5,2</w:t>
            </w:r>
          </w:p>
        </w:tc>
        <w:tc>
          <w:tcPr>
            <w:tcW w:w="1330"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A99A2F0" w14:textId="3708E5C7" w:rsidR="00156EF2" w:rsidRPr="00B83E9D" w:rsidRDefault="0024553D" w:rsidP="00B4285D">
            <w:pPr>
              <w:overflowPunct/>
              <w:autoSpaceDE/>
              <w:autoSpaceDN/>
              <w:adjustRightInd/>
              <w:jc w:val="center"/>
              <w:textAlignment w:val="bottom"/>
              <w:rPr>
                <w:rFonts w:eastAsia="PMingLiU" w:cs="Arial"/>
                <w:b/>
                <w:bCs/>
                <w:color w:val="000000"/>
                <w:kern w:val="24"/>
                <w:szCs w:val="18"/>
              </w:rPr>
            </w:pPr>
            <w:r>
              <w:rPr>
                <w:rFonts w:eastAsia="PMingLiU" w:cs="Arial"/>
                <w:b/>
                <w:bCs/>
                <w:color w:val="000000"/>
                <w:kern w:val="24"/>
                <w:szCs w:val="18"/>
              </w:rPr>
              <w:t>6,2</w:t>
            </w:r>
          </w:p>
        </w:tc>
      </w:tr>
      <w:tr w:rsidR="00156EF2" w:rsidRPr="0065675B" w14:paraId="6F4CA3D3" w14:textId="232459AF" w:rsidTr="003123D0">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vAlign w:val="center"/>
            <w:hideMark/>
          </w:tcPr>
          <w:p w14:paraId="17787A8E" w14:textId="77777777" w:rsidR="00156EF2" w:rsidRPr="00B83E9D" w:rsidRDefault="00156EF2" w:rsidP="00B4285D">
            <w:pPr>
              <w:autoSpaceDE/>
              <w:autoSpaceDN/>
              <w:adjustRightInd/>
              <w:jc w:val="left"/>
              <w:textAlignment w:val="auto"/>
              <w:rPr>
                <w:rFonts w:cs="Arial"/>
                <w:szCs w:val="18"/>
              </w:rPr>
            </w:pPr>
            <w:r w:rsidRPr="00B83E9D">
              <w:rPr>
                <w:rFonts w:cs="Arial"/>
                <w:b/>
                <w:bCs/>
                <w:color w:val="FFFFFF" w:themeColor="light1"/>
                <w:kern w:val="24"/>
                <w:szCs w:val="18"/>
              </w:rPr>
              <w:t>Růst reálného HDP v eurozóně (%)</w:t>
            </w:r>
          </w:p>
        </w:tc>
        <w:tc>
          <w:tcPr>
            <w:tcW w:w="214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689801DE" w14:textId="7CDCE2FD" w:rsidR="00156EF2" w:rsidRPr="006C035F" w:rsidRDefault="006C035F" w:rsidP="00635F63">
            <w:pPr>
              <w:jc w:val="center"/>
              <w:rPr>
                <w:rFonts w:ascii="Calibri" w:hAnsi="Calibri" w:cs="Calibri"/>
                <w:b/>
                <w:bCs/>
                <w:color w:val="FF0000"/>
                <w:sz w:val="22"/>
                <w:szCs w:val="22"/>
              </w:rPr>
            </w:pPr>
            <w:r>
              <w:rPr>
                <w:rFonts w:ascii="Calibri" w:hAnsi="Calibri" w:cs="Calibri"/>
                <w:b/>
                <w:bCs/>
                <w:color w:val="FF0000"/>
                <w:sz w:val="22"/>
                <w:szCs w:val="22"/>
              </w:rPr>
              <w:t>-6,9</w:t>
            </w:r>
          </w:p>
        </w:tc>
        <w:tc>
          <w:tcPr>
            <w:tcW w:w="166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2A8C9C15" w14:textId="6BF2D3A8" w:rsidR="00156EF2" w:rsidRPr="00B83E9D" w:rsidRDefault="0024553D" w:rsidP="00B4285D">
            <w:pPr>
              <w:overflowPunct/>
              <w:autoSpaceDE/>
              <w:autoSpaceDN/>
              <w:adjustRightInd/>
              <w:jc w:val="center"/>
              <w:textAlignment w:val="bottom"/>
              <w:rPr>
                <w:rFonts w:eastAsia="PMingLiU" w:cs="Arial"/>
                <w:b/>
                <w:bCs/>
                <w:color w:val="000000"/>
                <w:kern w:val="24"/>
                <w:szCs w:val="18"/>
              </w:rPr>
            </w:pPr>
            <w:r>
              <w:rPr>
                <w:rFonts w:eastAsia="PMingLiU" w:cs="Arial"/>
                <w:b/>
                <w:bCs/>
                <w:color w:val="000000"/>
                <w:kern w:val="24"/>
                <w:szCs w:val="18"/>
              </w:rPr>
              <w:t>3,7</w:t>
            </w:r>
          </w:p>
        </w:tc>
        <w:tc>
          <w:tcPr>
            <w:tcW w:w="1330"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4915947" w14:textId="62B79464" w:rsidR="00156EF2" w:rsidRPr="00B83E9D" w:rsidRDefault="0024553D" w:rsidP="00B4285D">
            <w:pPr>
              <w:overflowPunct/>
              <w:autoSpaceDE/>
              <w:autoSpaceDN/>
              <w:adjustRightInd/>
              <w:jc w:val="center"/>
              <w:textAlignment w:val="bottom"/>
              <w:rPr>
                <w:rFonts w:eastAsia="PMingLiU" w:cs="Arial"/>
                <w:b/>
                <w:bCs/>
                <w:color w:val="000000"/>
                <w:kern w:val="24"/>
                <w:szCs w:val="18"/>
              </w:rPr>
            </w:pPr>
            <w:r>
              <w:rPr>
                <w:rFonts w:eastAsia="PMingLiU" w:cs="Arial"/>
                <w:b/>
                <w:bCs/>
                <w:color w:val="000000"/>
                <w:kern w:val="24"/>
                <w:szCs w:val="18"/>
              </w:rPr>
              <w:t>3,7</w:t>
            </w:r>
          </w:p>
        </w:tc>
      </w:tr>
      <w:tr w:rsidR="00156EF2" w:rsidRPr="0065675B" w14:paraId="60142AA4" w14:textId="171AD64E" w:rsidTr="003123D0">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vAlign w:val="center"/>
            <w:hideMark/>
          </w:tcPr>
          <w:p w14:paraId="6A35B974" w14:textId="77777777" w:rsidR="00156EF2" w:rsidRPr="00B83E9D" w:rsidRDefault="00156EF2" w:rsidP="00B4285D">
            <w:pPr>
              <w:autoSpaceDE/>
              <w:autoSpaceDN/>
              <w:adjustRightInd/>
              <w:jc w:val="left"/>
              <w:textAlignment w:val="auto"/>
              <w:rPr>
                <w:rFonts w:cs="Arial"/>
                <w:szCs w:val="18"/>
              </w:rPr>
            </w:pPr>
            <w:r w:rsidRPr="00B83E9D">
              <w:rPr>
                <w:rFonts w:cs="Arial"/>
                <w:b/>
                <w:bCs/>
                <w:color w:val="FFFFFF" w:themeColor="light1"/>
                <w:kern w:val="24"/>
                <w:szCs w:val="18"/>
              </w:rPr>
              <w:t>Směnný kurz CZK/EUR: průměr</w:t>
            </w:r>
          </w:p>
        </w:tc>
        <w:tc>
          <w:tcPr>
            <w:tcW w:w="214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0C226044" w14:textId="334C73D5" w:rsidR="00156EF2" w:rsidRPr="006C035F" w:rsidRDefault="006C035F" w:rsidP="00635F63">
            <w:pPr>
              <w:jc w:val="center"/>
              <w:rPr>
                <w:rFonts w:ascii="Calibri" w:hAnsi="Calibri" w:cs="Calibri"/>
                <w:b/>
                <w:bCs/>
                <w:color w:val="FF0000"/>
                <w:sz w:val="22"/>
                <w:szCs w:val="22"/>
              </w:rPr>
            </w:pPr>
            <w:r>
              <w:rPr>
                <w:rFonts w:ascii="Calibri" w:hAnsi="Calibri" w:cs="Calibri"/>
                <w:b/>
                <w:bCs/>
                <w:color w:val="FF0000"/>
                <w:sz w:val="22"/>
                <w:szCs w:val="22"/>
              </w:rPr>
              <w:t>26,46</w:t>
            </w:r>
          </w:p>
        </w:tc>
        <w:tc>
          <w:tcPr>
            <w:tcW w:w="166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1DD3C408" w14:textId="3B1437D5" w:rsidR="00156EF2" w:rsidRPr="00B83E9D" w:rsidRDefault="0024553D" w:rsidP="00B4285D">
            <w:pPr>
              <w:overflowPunct/>
              <w:autoSpaceDE/>
              <w:autoSpaceDN/>
              <w:adjustRightInd/>
              <w:jc w:val="center"/>
              <w:textAlignment w:val="bottom"/>
              <w:rPr>
                <w:rFonts w:eastAsia="PMingLiU" w:cs="Arial"/>
                <w:b/>
                <w:bCs/>
                <w:color w:val="000000"/>
                <w:kern w:val="24"/>
                <w:szCs w:val="18"/>
              </w:rPr>
            </w:pPr>
            <w:r>
              <w:rPr>
                <w:rFonts w:eastAsia="PMingLiU" w:cs="Arial"/>
                <w:b/>
                <w:bCs/>
                <w:color w:val="000000"/>
                <w:kern w:val="24"/>
                <w:szCs w:val="18"/>
              </w:rPr>
              <w:t>25</w:t>
            </w:r>
            <w:r w:rsidR="00156EF2" w:rsidRPr="00B83E9D">
              <w:rPr>
                <w:rFonts w:eastAsia="PMingLiU" w:cs="Arial"/>
                <w:b/>
                <w:bCs/>
                <w:color w:val="000000"/>
                <w:kern w:val="24"/>
                <w:szCs w:val="18"/>
              </w:rPr>
              <w:t>,</w:t>
            </w:r>
            <w:r>
              <w:rPr>
                <w:rFonts w:eastAsia="PMingLiU" w:cs="Arial"/>
                <w:b/>
                <w:bCs/>
                <w:color w:val="000000"/>
                <w:kern w:val="24"/>
                <w:szCs w:val="18"/>
              </w:rPr>
              <w:t>79</w:t>
            </w:r>
          </w:p>
        </w:tc>
        <w:tc>
          <w:tcPr>
            <w:tcW w:w="1330"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B9C3C2F" w14:textId="7147339E" w:rsidR="00156EF2" w:rsidRPr="00B83E9D" w:rsidRDefault="00156EF2" w:rsidP="00B4285D">
            <w:pPr>
              <w:overflowPunct/>
              <w:autoSpaceDE/>
              <w:autoSpaceDN/>
              <w:adjustRightInd/>
              <w:jc w:val="center"/>
              <w:textAlignment w:val="bottom"/>
              <w:rPr>
                <w:rFonts w:eastAsia="PMingLiU" w:cs="Arial"/>
                <w:b/>
                <w:bCs/>
                <w:color w:val="000000"/>
                <w:kern w:val="24"/>
                <w:szCs w:val="18"/>
              </w:rPr>
            </w:pPr>
            <w:r w:rsidRPr="00B83E9D">
              <w:rPr>
                <w:rFonts w:eastAsia="PMingLiU" w:cs="Arial"/>
                <w:b/>
                <w:bCs/>
                <w:color w:val="000000"/>
                <w:kern w:val="24"/>
                <w:szCs w:val="18"/>
              </w:rPr>
              <w:t>2</w:t>
            </w:r>
            <w:r w:rsidR="0024553D">
              <w:rPr>
                <w:rFonts w:eastAsia="PMingLiU" w:cs="Arial"/>
                <w:b/>
                <w:bCs/>
                <w:color w:val="000000"/>
                <w:kern w:val="24"/>
                <w:szCs w:val="18"/>
              </w:rPr>
              <w:t>5</w:t>
            </w:r>
            <w:r w:rsidR="000C552C" w:rsidRPr="00B83E9D">
              <w:rPr>
                <w:rFonts w:eastAsia="PMingLiU" w:cs="Arial"/>
                <w:b/>
                <w:bCs/>
                <w:color w:val="000000"/>
                <w:kern w:val="24"/>
                <w:szCs w:val="18"/>
              </w:rPr>
              <w:t>,2</w:t>
            </w:r>
            <w:r w:rsidR="0024553D">
              <w:rPr>
                <w:rFonts w:eastAsia="PMingLiU" w:cs="Arial"/>
                <w:b/>
                <w:bCs/>
                <w:color w:val="000000"/>
                <w:kern w:val="24"/>
                <w:szCs w:val="18"/>
              </w:rPr>
              <w:t>0</w:t>
            </w:r>
          </w:p>
        </w:tc>
      </w:tr>
      <w:tr w:rsidR="00156EF2" w:rsidRPr="0065675B" w14:paraId="445C4C94" w14:textId="33BDCCB6" w:rsidTr="003123D0">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vAlign w:val="center"/>
            <w:hideMark/>
          </w:tcPr>
          <w:p w14:paraId="00B4B737" w14:textId="77777777" w:rsidR="00156EF2" w:rsidRPr="00B83E9D" w:rsidRDefault="00156EF2" w:rsidP="00B4285D">
            <w:pPr>
              <w:autoSpaceDE/>
              <w:autoSpaceDN/>
              <w:adjustRightInd/>
              <w:jc w:val="left"/>
              <w:textAlignment w:val="auto"/>
              <w:rPr>
                <w:rFonts w:cs="Arial"/>
                <w:szCs w:val="18"/>
              </w:rPr>
            </w:pPr>
            <w:r w:rsidRPr="00B83E9D">
              <w:rPr>
                <w:rFonts w:cs="Arial"/>
                <w:b/>
                <w:bCs/>
                <w:color w:val="FFFFFF" w:themeColor="light1"/>
                <w:kern w:val="24"/>
                <w:szCs w:val="18"/>
              </w:rPr>
              <w:t>Ceny ropy (USD za barel): brent průměr</w:t>
            </w:r>
          </w:p>
        </w:tc>
        <w:tc>
          <w:tcPr>
            <w:tcW w:w="214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0DA44B85" w14:textId="416FFC43" w:rsidR="00156EF2" w:rsidRPr="006C035F" w:rsidRDefault="00B64423" w:rsidP="00635F63">
            <w:pPr>
              <w:jc w:val="center"/>
              <w:rPr>
                <w:rFonts w:ascii="Calibri" w:hAnsi="Calibri" w:cs="Calibri"/>
                <w:b/>
                <w:bCs/>
                <w:color w:val="FF0000"/>
                <w:sz w:val="22"/>
                <w:szCs w:val="22"/>
              </w:rPr>
            </w:pPr>
            <w:r>
              <w:rPr>
                <w:rFonts w:ascii="Calibri" w:hAnsi="Calibri" w:cs="Calibri"/>
                <w:b/>
                <w:bCs/>
                <w:color w:val="FF0000"/>
                <w:sz w:val="22"/>
                <w:szCs w:val="22"/>
              </w:rPr>
              <w:t>43,00</w:t>
            </w:r>
          </w:p>
        </w:tc>
        <w:tc>
          <w:tcPr>
            <w:tcW w:w="166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72F1E147" w14:textId="1102D520" w:rsidR="00156EF2" w:rsidRPr="00B83E9D" w:rsidRDefault="0024553D" w:rsidP="00B4285D">
            <w:pPr>
              <w:overflowPunct/>
              <w:autoSpaceDE/>
              <w:autoSpaceDN/>
              <w:adjustRightInd/>
              <w:jc w:val="center"/>
              <w:textAlignment w:val="bottom"/>
              <w:rPr>
                <w:rFonts w:eastAsia="PMingLiU" w:cs="Arial"/>
                <w:b/>
                <w:bCs/>
                <w:color w:val="000000"/>
                <w:kern w:val="24"/>
                <w:szCs w:val="18"/>
              </w:rPr>
            </w:pPr>
            <w:r>
              <w:rPr>
                <w:rFonts w:eastAsia="PMingLiU" w:cs="Arial"/>
                <w:b/>
                <w:bCs/>
                <w:color w:val="000000"/>
                <w:kern w:val="24"/>
                <w:szCs w:val="18"/>
              </w:rPr>
              <w:t>56,00</w:t>
            </w:r>
          </w:p>
        </w:tc>
        <w:tc>
          <w:tcPr>
            <w:tcW w:w="1330"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136342DA" w14:textId="3A027A3E" w:rsidR="00156EF2" w:rsidRPr="00B83E9D" w:rsidRDefault="0024553D" w:rsidP="00B4285D">
            <w:pPr>
              <w:overflowPunct/>
              <w:autoSpaceDE/>
              <w:autoSpaceDN/>
              <w:adjustRightInd/>
              <w:jc w:val="center"/>
              <w:textAlignment w:val="bottom"/>
              <w:rPr>
                <w:rFonts w:eastAsia="PMingLiU" w:cs="Arial"/>
                <w:b/>
                <w:bCs/>
                <w:color w:val="000000"/>
                <w:kern w:val="24"/>
                <w:szCs w:val="18"/>
              </w:rPr>
            </w:pPr>
            <w:r>
              <w:rPr>
                <w:rFonts w:eastAsia="PMingLiU" w:cs="Arial"/>
                <w:b/>
                <w:bCs/>
                <w:color w:val="000000"/>
                <w:kern w:val="24"/>
                <w:szCs w:val="18"/>
              </w:rPr>
              <w:t>58,00</w:t>
            </w:r>
          </w:p>
        </w:tc>
      </w:tr>
      <w:tr w:rsidR="00156EF2" w:rsidRPr="0065675B" w14:paraId="23861021" w14:textId="62086BC7" w:rsidTr="003123D0">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vAlign w:val="center"/>
            <w:hideMark/>
          </w:tcPr>
          <w:p w14:paraId="23F29BAA" w14:textId="77777777" w:rsidR="00156EF2" w:rsidRPr="00B83E9D" w:rsidRDefault="00156EF2" w:rsidP="00B4285D">
            <w:pPr>
              <w:autoSpaceDE/>
              <w:autoSpaceDN/>
              <w:adjustRightInd/>
              <w:jc w:val="left"/>
              <w:textAlignment w:val="auto"/>
              <w:rPr>
                <w:rFonts w:cs="Arial"/>
                <w:szCs w:val="18"/>
              </w:rPr>
            </w:pPr>
            <w:r w:rsidRPr="00B83E9D">
              <w:rPr>
                <w:rFonts w:cs="Arial"/>
                <w:b/>
                <w:bCs/>
                <w:color w:val="FFFFFF" w:themeColor="light1"/>
                <w:kern w:val="24"/>
                <w:szCs w:val="18"/>
              </w:rPr>
              <w:t>Základní sazba ČNB 2T REPO (%): konec období</w:t>
            </w:r>
          </w:p>
        </w:tc>
        <w:tc>
          <w:tcPr>
            <w:tcW w:w="214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209D982A" w14:textId="3EBB7E97" w:rsidR="00156EF2" w:rsidRPr="006C035F" w:rsidRDefault="006C035F" w:rsidP="00635F63">
            <w:pPr>
              <w:jc w:val="center"/>
              <w:rPr>
                <w:rFonts w:ascii="Calibri" w:hAnsi="Calibri" w:cs="Calibri"/>
                <w:b/>
                <w:bCs/>
                <w:color w:val="FF0000"/>
                <w:sz w:val="22"/>
                <w:szCs w:val="22"/>
              </w:rPr>
            </w:pPr>
            <w:r>
              <w:rPr>
                <w:rFonts w:ascii="Calibri" w:hAnsi="Calibri" w:cs="Calibri"/>
                <w:b/>
                <w:bCs/>
                <w:color w:val="FF0000"/>
                <w:sz w:val="22"/>
                <w:szCs w:val="22"/>
              </w:rPr>
              <w:t>0,25</w:t>
            </w:r>
          </w:p>
        </w:tc>
        <w:tc>
          <w:tcPr>
            <w:tcW w:w="166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58E35022" w14:textId="135512EC" w:rsidR="00156EF2" w:rsidRPr="00B83E9D" w:rsidRDefault="0024553D" w:rsidP="00B4285D">
            <w:pPr>
              <w:overflowPunct/>
              <w:autoSpaceDE/>
              <w:autoSpaceDN/>
              <w:adjustRightInd/>
              <w:jc w:val="center"/>
              <w:textAlignment w:val="bottom"/>
              <w:rPr>
                <w:rFonts w:eastAsia="PMingLiU" w:cs="Arial"/>
                <w:b/>
                <w:bCs/>
                <w:color w:val="000000"/>
                <w:kern w:val="24"/>
                <w:szCs w:val="18"/>
              </w:rPr>
            </w:pPr>
            <w:r>
              <w:rPr>
                <w:rFonts w:eastAsia="PMingLiU" w:cs="Arial"/>
                <w:b/>
                <w:bCs/>
                <w:color w:val="000000"/>
                <w:kern w:val="24"/>
                <w:szCs w:val="18"/>
              </w:rPr>
              <w:t>0,50</w:t>
            </w:r>
          </w:p>
        </w:tc>
        <w:tc>
          <w:tcPr>
            <w:tcW w:w="1330"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81B8F2D" w14:textId="002D1329" w:rsidR="00156EF2" w:rsidRPr="00B83E9D" w:rsidRDefault="0024553D" w:rsidP="00B4285D">
            <w:pPr>
              <w:overflowPunct/>
              <w:autoSpaceDE/>
              <w:autoSpaceDN/>
              <w:adjustRightInd/>
              <w:jc w:val="center"/>
              <w:textAlignment w:val="bottom"/>
              <w:rPr>
                <w:rFonts w:eastAsia="PMingLiU" w:cs="Arial"/>
                <w:b/>
                <w:bCs/>
                <w:color w:val="000000"/>
                <w:kern w:val="24"/>
                <w:szCs w:val="18"/>
              </w:rPr>
            </w:pPr>
            <w:r>
              <w:rPr>
                <w:rFonts w:eastAsia="PMingLiU" w:cs="Arial"/>
                <w:b/>
                <w:bCs/>
                <w:color w:val="000000"/>
                <w:kern w:val="24"/>
                <w:szCs w:val="18"/>
              </w:rPr>
              <w:t>1</w:t>
            </w:r>
            <w:r w:rsidR="003E31EA" w:rsidRPr="00B83E9D">
              <w:rPr>
                <w:rFonts w:eastAsia="PMingLiU" w:cs="Arial"/>
                <w:b/>
                <w:bCs/>
                <w:color w:val="000000"/>
                <w:kern w:val="24"/>
                <w:szCs w:val="18"/>
              </w:rPr>
              <w:t>,</w:t>
            </w:r>
            <w:r>
              <w:rPr>
                <w:rFonts w:eastAsia="PMingLiU" w:cs="Arial"/>
                <w:b/>
                <w:bCs/>
                <w:color w:val="000000"/>
                <w:kern w:val="24"/>
                <w:szCs w:val="18"/>
              </w:rPr>
              <w:t>00</w:t>
            </w:r>
          </w:p>
        </w:tc>
      </w:tr>
      <w:tr w:rsidR="00156EF2" w:rsidRPr="0065675B" w14:paraId="32A294F8" w14:textId="5450A20A" w:rsidTr="003123D0">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vAlign w:val="center"/>
            <w:hideMark/>
          </w:tcPr>
          <w:p w14:paraId="69258B6A" w14:textId="77777777" w:rsidR="00156EF2" w:rsidRPr="00B83E9D" w:rsidRDefault="00156EF2" w:rsidP="00B4285D">
            <w:pPr>
              <w:autoSpaceDE/>
              <w:autoSpaceDN/>
              <w:adjustRightInd/>
              <w:jc w:val="left"/>
              <w:textAlignment w:val="auto"/>
              <w:rPr>
                <w:rFonts w:cs="Arial"/>
                <w:szCs w:val="18"/>
              </w:rPr>
            </w:pPr>
            <w:r w:rsidRPr="00B83E9D">
              <w:rPr>
                <w:rFonts w:cs="Arial"/>
                <w:b/>
                <w:bCs/>
                <w:color w:val="FFFFFF" w:themeColor="light1"/>
                <w:kern w:val="24"/>
                <w:szCs w:val="18"/>
              </w:rPr>
              <w:t>Základní sazba ECB (%): konec období</w:t>
            </w:r>
          </w:p>
        </w:tc>
        <w:tc>
          <w:tcPr>
            <w:tcW w:w="214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3956D446" w14:textId="6A0E2CAE" w:rsidR="00156EF2" w:rsidRPr="00B83E9D" w:rsidRDefault="00156EF2" w:rsidP="00B4285D">
            <w:pPr>
              <w:overflowPunct/>
              <w:autoSpaceDE/>
              <w:autoSpaceDN/>
              <w:adjustRightInd/>
              <w:jc w:val="center"/>
              <w:textAlignment w:val="bottom"/>
              <w:rPr>
                <w:rFonts w:eastAsia="PMingLiU" w:cs="Arial"/>
                <w:b/>
                <w:bCs/>
                <w:color w:val="44546A" w:themeColor="text2"/>
                <w:kern w:val="24"/>
                <w:szCs w:val="18"/>
              </w:rPr>
            </w:pPr>
            <w:r w:rsidRPr="006C035F">
              <w:rPr>
                <w:rFonts w:eastAsia="PMingLiU" w:cs="Arial"/>
                <w:b/>
                <w:bCs/>
                <w:color w:val="FF0000"/>
                <w:kern w:val="24"/>
                <w:szCs w:val="18"/>
              </w:rPr>
              <w:t>0,0</w:t>
            </w:r>
          </w:p>
        </w:tc>
        <w:tc>
          <w:tcPr>
            <w:tcW w:w="166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531A4A56" w14:textId="4400CDB6" w:rsidR="00156EF2" w:rsidRPr="00B83E9D" w:rsidRDefault="00156EF2" w:rsidP="00B4285D">
            <w:pPr>
              <w:overflowPunct/>
              <w:autoSpaceDE/>
              <w:autoSpaceDN/>
              <w:adjustRightInd/>
              <w:jc w:val="center"/>
              <w:textAlignment w:val="bottom"/>
              <w:rPr>
                <w:rFonts w:eastAsia="PMingLiU" w:cs="Arial"/>
                <w:b/>
                <w:bCs/>
                <w:color w:val="000000"/>
                <w:kern w:val="24"/>
                <w:szCs w:val="18"/>
              </w:rPr>
            </w:pPr>
            <w:r w:rsidRPr="00B83E9D">
              <w:rPr>
                <w:rFonts w:eastAsia="PMingLiU" w:cs="Arial"/>
                <w:b/>
                <w:bCs/>
                <w:color w:val="000000"/>
                <w:kern w:val="24"/>
                <w:szCs w:val="18"/>
              </w:rPr>
              <w:t>0,0</w:t>
            </w:r>
          </w:p>
        </w:tc>
        <w:tc>
          <w:tcPr>
            <w:tcW w:w="1330"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4653AAA" w14:textId="5B4A0745" w:rsidR="00156EF2" w:rsidRPr="00B83E9D" w:rsidRDefault="00156EF2" w:rsidP="00B4285D">
            <w:pPr>
              <w:overflowPunct/>
              <w:autoSpaceDE/>
              <w:autoSpaceDN/>
              <w:adjustRightInd/>
              <w:jc w:val="center"/>
              <w:textAlignment w:val="bottom"/>
              <w:rPr>
                <w:rFonts w:eastAsia="PMingLiU" w:cs="Arial"/>
                <w:b/>
                <w:bCs/>
                <w:color w:val="000000"/>
                <w:kern w:val="24"/>
                <w:szCs w:val="18"/>
              </w:rPr>
            </w:pPr>
            <w:r w:rsidRPr="00B83E9D">
              <w:rPr>
                <w:rFonts w:eastAsia="PMingLiU" w:cs="Arial"/>
                <w:b/>
                <w:bCs/>
                <w:color w:val="000000"/>
                <w:kern w:val="24"/>
                <w:szCs w:val="18"/>
              </w:rPr>
              <w:t>0,0</w:t>
            </w:r>
          </w:p>
        </w:tc>
      </w:tr>
      <w:tr w:rsidR="00156EF2" w:rsidRPr="0065675B" w14:paraId="72155F13" w14:textId="2A886E37" w:rsidTr="003123D0">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vAlign w:val="center"/>
            <w:hideMark/>
          </w:tcPr>
          <w:p w14:paraId="2239ABC3" w14:textId="77777777" w:rsidR="00156EF2" w:rsidRPr="00B83E9D" w:rsidRDefault="00156EF2" w:rsidP="00B4285D">
            <w:pPr>
              <w:autoSpaceDE/>
              <w:autoSpaceDN/>
              <w:adjustRightInd/>
              <w:jc w:val="left"/>
              <w:textAlignment w:val="auto"/>
              <w:rPr>
                <w:rFonts w:cs="Arial"/>
                <w:szCs w:val="18"/>
              </w:rPr>
            </w:pPr>
            <w:r w:rsidRPr="00B83E9D">
              <w:rPr>
                <w:rFonts w:cs="Arial"/>
                <w:b/>
                <w:bCs/>
                <w:color w:val="FFFFFF" w:themeColor="light1"/>
                <w:kern w:val="24"/>
                <w:szCs w:val="18"/>
              </w:rPr>
              <w:t>3M-PRIBOR (%): průměr</w:t>
            </w:r>
          </w:p>
        </w:tc>
        <w:tc>
          <w:tcPr>
            <w:tcW w:w="214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3CB373A3" w14:textId="2453C8A2" w:rsidR="00156EF2" w:rsidRPr="006C035F" w:rsidRDefault="006C035F" w:rsidP="00635F63">
            <w:pPr>
              <w:jc w:val="center"/>
              <w:rPr>
                <w:rFonts w:ascii="Calibri" w:hAnsi="Calibri" w:cs="Calibri"/>
                <w:b/>
                <w:bCs/>
                <w:color w:val="FF0000"/>
                <w:sz w:val="22"/>
                <w:szCs w:val="22"/>
              </w:rPr>
            </w:pPr>
            <w:r>
              <w:rPr>
                <w:rFonts w:ascii="Calibri" w:hAnsi="Calibri" w:cs="Calibri"/>
                <w:b/>
                <w:bCs/>
                <w:color w:val="FF0000"/>
                <w:sz w:val="22"/>
                <w:szCs w:val="22"/>
              </w:rPr>
              <w:t>0,86</w:t>
            </w:r>
          </w:p>
        </w:tc>
        <w:tc>
          <w:tcPr>
            <w:tcW w:w="166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4B680F07" w14:textId="23CD2F9A" w:rsidR="00156EF2" w:rsidRPr="00B83E9D" w:rsidRDefault="0024553D" w:rsidP="00B4285D">
            <w:pPr>
              <w:overflowPunct/>
              <w:autoSpaceDE/>
              <w:autoSpaceDN/>
              <w:adjustRightInd/>
              <w:jc w:val="center"/>
              <w:textAlignment w:val="bottom"/>
              <w:rPr>
                <w:rFonts w:eastAsia="PMingLiU" w:cs="Arial"/>
                <w:b/>
                <w:bCs/>
                <w:color w:val="000000"/>
                <w:kern w:val="24"/>
                <w:szCs w:val="18"/>
              </w:rPr>
            </w:pPr>
            <w:r>
              <w:rPr>
                <w:rFonts w:eastAsia="PMingLiU" w:cs="Arial"/>
                <w:b/>
                <w:bCs/>
                <w:color w:val="000000"/>
                <w:kern w:val="24"/>
                <w:szCs w:val="18"/>
              </w:rPr>
              <w:t>0,40</w:t>
            </w:r>
          </w:p>
        </w:tc>
        <w:tc>
          <w:tcPr>
            <w:tcW w:w="1330"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EF90161" w14:textId="57A34DDC" w:rsidR="00156EF2" w:rsidRPr="00B83E9D" w:rsidRDefault="003E31EA" w:rsidP="00B4285D">
            <w:pPr>
              <w:overflowPunct/>
              <w:autoSpaceDE/>
              <w:autoSpaceDN/>
              <w:adjustRightInd/>
              <w:jc w:val="center"/>
              <w:textAlignment w:val="bottom"/>
              <w:rPr>
                <w:rFonts w:eastAsia="PMingLiU" w:cs="Arial"/>
                <w:b/>
                <w:bCs/>
                <w:color w:val="000000"/>
                <w:kern w:val="24"/>
                <w:szCs w:val="18"/>
              </w:rPr>
            </w:pPr>
            <w:r w:rsidRPr="00B83E9D">
              <w:rPr>
                <w:rFonts w:eastAsia="PMingLiU" w:cs="Arial"/>
                <w:b/>
                <w:bCs/>
                <w:color w:val="000000"/>
                <w:kern w:val="24"/>
                <w:szCs w:val="18"/>
              </w:rPr>
              <w:t>0,</w:t>
            </w:r>
            <w:r w:rsidR="0024553D">
              <w:rPr>
                <w:rFonts w:eastAsia="PMingLiU" w:cs="Arial"/>
                <w:b/>
                <w:bCs/>
                <w:color w:val="000000"/>
                <w:kern w:val="24"/>
                <w:szCs w:val="18"/>
              </w:rPr>
              <w:t>9</w:t>
            </w:r>
          </w:p>
        </w:tc>
      </w:tr>
      <w:tr w:rsidR="00156EF2" w:rsidRPr="0065675B" w14:paraId="50544107" w14:textId="41B6D86E" w:rsidTr="003123D0">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vAlign w:val="center"/>
            <w:hideMark/>
          </w:tcPr>
          <w:p w14:paraId="38ED4C72" w14:textId="77777777" w:rsidR="00156EF2" w:rsidRPr="00B83E9D" w:rsidRDefault="00156EF2" w:rsidP="00B4285D">
            <w:pPr>
              <w:autoSpaceDE/>
              <w:autoSpaceDN/>
              <w:adjustRightInd/>
              <w:jc w:val="left"/>
              <w:textAlignment w:val="auto"/>
              <w:rPr>
                <w:rFonts w:cs="Arial"/>
                <w:szCs w:val="18"/>
              </w:rPr>
            </w:pPr>
            <w:r w:rsidRPr="00B83E9D">
              <w:rPr>
                <w:rFonts w:cs="Arial"/>
                <w:b/>
                <w:bCs/>
                <w:color w:val="FFFFFF" w:themeColor="light1"/>
                <w:kern w:val="24"/>
                <w:szCs w:val="18"/>
              </w:rPr>
              <w:t>Růst bankovních úvěrů klientských (%)</w:t>
            </w:r>
          </w:p>
        </w:tc>
        <w:tc>
          <w:tcPr>
            <w:tcW w:w="214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7CE019AA" w14:textId="20F8B2F3" w:rsidR="00156EF2" w:rsidRPr="006C035F" w:rsidRDefault="006C035F" w:rsidP="00635F63">
            <w:pPr>
              <w:jc w:val="center"/>
              <w:rPr>
                <w:rFonts w:ascii="Calibri" w:hAnsi="Calibri" w:cs="Calibri"/>
                <w:b/>
                <w:bCs/>
                <w:color w:val="FF0000"/>
                <w:sz w:val="22"/>
                <w:szCs w:val="22"/>
              </w:rPr>
            </w:pPr>
            <w:r>
              <w:rPr>
                <w:rFonts w:ascii="Calibri" w:hAnsi="Calibri" w:cs="Calibri"/>
                <w:b/>
                <w:bCs/>
                <w:color w:val="FF0000"/>
                <w:sz w:val="22"/>
                <w:szCs w:val="22"/>
              </w:rPr>
              <w:t>4,9</w:t>
            </w:r>
          </w:p>
        </w:tc>
        <w:tc>
          <w:tcPr>
            <w:tcW w:w="166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3C457989" w14:textId="4210389A" w:rsidR="00156EF2" w:rsidRPr="00B83E9D" w:rsidRDefault="00156EF2" w:rsidP="00B4285D">
            <w:pPr>
              <w:overflowPunct/>
              <w:autoSpaceDE/>
              <w:autoSpaceDN/>
              <w:adjustRightInd/>
              <w:jc w:val="center"/>
              <w:textAlignment w:val="bottom"/>
              <w:rPr>
                <w:rFonts w:eastAsia="PMingLiU" w:cs="Arial"/>
                <w:b/>
                <w:bCs/>
                <w:color w:val="000000"/>
                <w:kern w:val="24"/>
                <w:szCs w:val="18"/>
              </w:rPr>
            </w:pPr>
            <w:r w:rsidRPr="00B83E9D">
              <w:rPr>
                <w:rFonts w:eastAsia="PMingLiU" w:cs="Arial"/>
                <w:b/>
                <w:bCs/>
                <w:color w:val="000000"/>
                <w:kern w:val="24"/>
                <w:szCs w:val="18"/>
              </w:rPr>
              <w:t>4,</w:t>
            </w:r>
            <w:r w:rsidR="00B2720B" w:rsidRPr="00B83E9D">
              <w:rPr>
                <w:rFonts w:eastAsia="PMingLiU" w:cs="Arial"/>
                <w:b/>
                <w:bCs/>
                <w:color w:val="000000"/>
                <w:kern w:val="24"/>
                <w:szCs w:val="18"/>
              </w:rPr>
              <w:t>6</w:t>
            </w:r>
          </w:p>
        </w:tc>
        <w:tc>
          <w:tcPr>
            <w:tcW w:w="1330"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1E99C6E9" w14:textId="272E131B" w:rsidR="00156EF2" w:rsidRPr="00B83E9D" w:rsidRDefault="0024553D" w:rsidP="00B4285D">
            <w:pPr>
              <w:overflowPunct/>
              <w:autoSpaceDE/>
              <w:autoSpaceDN/>
              <w:adjustRightInd/>
              <w:jc w:val="center"/>
              <w:textAlignment w:val="bottom"/>
              <w:rPr>
                <w:rFonts w:eastAsia="PMingLiU" w:cs="Arial"/>
                <w:b/>
                <w:bCs/>
                <w:color w:val="000000"/>
                <w:kern w:val="24"/>
                <w:szCs w:val="18"/>
              </w:rPr>
            </w:pPr>
            <w:r>
              <w:rPr>
                <w:rFonts w:eastAsia="PMingLiU" w:cs="Arial"/>
                <w:b/>
                <w:bCs/>
                <w:color w:val="000000"/>
                <w:kern w:val="24"/>
                <w:szCs w:val="18"/>
              </w:rPr>
              <w:t>5,</w:t>
            </w:r>
            <w:r w:rsidR="00B2720B" w:rsidRPr="00B83E9D">
              <w:rPr>
                <w:rFonts w:eastAsia="PMingLiU" w:cs="Arial"/>
                <w:b/>
                <w:bCs/>
                <w:color w:val="000000"/>
                <w:kern w:val="24"/>
                <w:szCs w:val="18"/>
              </w:rPr>
              <w:t>3</w:t>
            </w:r>
          </w:p>
        </w:tc>
      </w:tr>
      <w:tr w:rsidR="00156EF2" w:rsidRPr="0065675B" w14:paraId="32076E5F" w14:textId="0C708F0C" w:rsidTr="003123D0">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vAlign w:val="center"/>
            <w:hideMark/>
          </w:tcPr>
          <w:p w14:paraId="4B4F9597" w14:textId="77777777" w:rsidR="00156EF2" w:rsidRPr="00B83E9D" w:rsidRDefault="00156EF2" w:rsidP="00B4285D">
            <w:pPr>
              <w:autoSpaceDE/>
              <w:autoSpaceDN/>
              <w:adjustRightInd/>
              <w:jc w:val="left"/>
              <w:textAlignment w:val="auto"/>
              <w:rPr>
                <w:rFonts w:cs="Arial"/>
                <w:szCs w:val="18"/>
              </w:rPr>
            </w:pPr>
            <w:r w:rsidRPr="00B83E9D">
              <w:rPr>
                <w:rFonts w:cs="Arial"/>
                <w:b/>
                <w:bCs/>
                <w:color w:val="FFFFFF" w:themeColor="light1"/>
                <w:kern w:val="24"/>
                <w:szCs w:val="18"/>
              </w:rPr>
              <w:t>Růst bankovních úvěrů domácnostem (%)</w:t>
            </w:r>
          </w:p>
        </w:tc>
        <w:tc>
          <w:tcPr>
            <w:tcW w:w="214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48369240" w14:textId="3674E9FF" w:rsidR="00156EF2" w:rsidRPr="006C035F" w:rsidRDefault="006C035F" w:rsidP="00635F63">
            <w:pPr>
              <w:jc w:val="center"/>
              <w:rPr>
                <w:rFonts w:ascii="Calibri" w:hAnsi="Calibri" w:cs="Calibri"/>
                <w:b/>
                <w:bCs/>
                <w:color w:val="FF0000"/>
                <w:sz w:val="22"/>
                <w:szCs w:val="22"/>
              </w:rPr>
            </w:pPr>
            <w:r>
              <w:rPr>
                <w:rFonts w:ascii="Calibri" w:hAnsi="Calibri" w:cs="Calibri"/>
                <w:b/>
                <w:bCs/>
                <w:color w:val="FF0000"/>
                <w:sz w:val="22"/>
                <w:szCs w:val="22"/>
              </w:rPr>
              <w:t>6,5</w:t>
            </w:r>
          </w:p>
        </w:tc>
        <w:tc>
          <w:tcPr>
            <w:tcW w:w="166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70957DC9" w14:textId="48F9413A" w:rsidR="00156EF2" w:rsidRPr="00B83E9D" w:rsidRDefault="00A4779D" w:rsidP="00B4285D">
            <w:pPr>
              <w:overflowPunct/>
              <w:autoSpaceDE/>
              <w:autoSpaceDN/>
              <w:adjustRightInd/>
              <w:jc w:val="center"/>
              <w:textAlignment w:val="bottom"/>
              <w:rPr>
                <w:rFonts w:eastAsia="PMingLiU" w:cs="Arial"/>
                <w:b/>
                <w:bCs/>
                <w:color w:val="000000"/>
                <w:kern w:val="24"/>
                <w:szCs w:val="18"/>
              </w:rPr>
            </w:pPr>
            <w:r w:rsidRPr="00B83E9D">
              <w:rPr>
                <w:rFonts w:eastAsia="PMingLiU" w:cs="Arial"/>
                <w:b/>
                <w:bCs/>
                <w:color w:val="000000"/>
                <w:kern w:val="24"/>
                <w:szCs w:val="18"/>
              </w:rPr>
              <w:t>6,2</w:t>
            </w:r>
          </w:p>
        </w:tc>
        <w:tc>
          <w:tcPr>
            <w:tcW w:w="1330"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52C6DE4" w14:textId="2C4A4199" w:rsidR="00156EF2" w:rsidRPr="00B83E9D" w:rsidRDefault="0024553D" w:rsidP="00B4285D">
            <w:pPr>
              <w:overflowPunct/>
              <w:autoSpaceDE/>
              <w:autoSpaceDN/>
              <w:adjustRightInd/>
              <w:jc w:val="center"/>
              <w:textAlignment w:val="bottom"/>
              <w:rPr>
                <w:rFonts w:eastAsia="PMingLiU" w:cs="Arial"/>
                <w:b/>
                <w:bCs/>
                <w:color w:val="000000"/>
                <w:kern w:val="24"/>
                <w:szCs w:val="18"/>
              </w:rPr>
            </w:pPr>
            <w:r>
              <w:rPr>
                <w:rFonts w:eastAsia="PMingLiU" w:cs="Arial"/>
                <w:b/>
                <w:bCs/>
                <w:color w:val="000000"/>
                <w:kern w:val="24"/>
                <w:szCs w:val="18"/>
              </w:rPr>
              <w:t>6,0</w:t>
            </w:r>
          </w:p>
        </w:tc>
      </w:tr>
      <w:tr w:rsidR="00156EF2" w:rsidRPr="0065675B" w14:paraId="418E71CA" w14:textId="248095F4" w:rsidTr="003123D0">
        <w:trPr>
          <w:trHeight w:val="86"/>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vAlign w:val="center"/>
            <w:hideMark/>
          </w:tcPr>
          <w:p w14:paraId="62221125" w14:textId="77777777" w:rsidR="00156EF2" w:rsidRPr="00B83E9D" w:rsidRDefault="00156EF2" w:rsidP="00B4285D">
            <w:pPr>
              <w:autoSpaceDE/>
              <w:autoSpaceDN/>
              <w:adjustRightInd/>
              <w:jc w:val="left"/>
              <w:textAlignment w:val="auto"/>
              <w:rPr>
                <w:rFonts w:cs="Arial"/>
                <w:szCs w:val="18"/>
              </w:rPr>
            </w:pPr>
            <w:r w:rsidRPr="00B83E9D">
              <w:rPr>
                <w:rFonts w:cs="Arial"/>
                <w:b/>
                <w:bCs/>
                <w:color w:val="FFFFFF" w:themeColor="light1"/>
                <w:kern w:val="24"/>
                <w:szCs w:val="18"/>
              </w:rPr>
              <w:t>Růst bankovních úvěrů (nefinančním) podnikům (%)</w:t>
            </w:r>
          </w:p>
        </w:tc>
        <w:tc>
          <w:tcPr>
            <w:tcW w:w="214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106F2A8B" w14:textId="15849F28" w:rsidR="00156EF2" w:rsidRPr="006C035F" w:rsidRDefault="006C035F" w:rsidP="00635F63">
            <w:pPr>
              <w:jc w:val="center"/>
              <w:rPr>
                <w:rFonts w:ascii="Calibri" w:hAnsi="Calibri" w:cs="Calibri"/>
                <w:b/>
                <w:bCs/>
                <w:color w:val="FF0000"/>
                <w:sz w:val="22"/>
                <w:szCs w:val="22"/>
              </w:rPr>
            </w:pPr>
            <w:r>
              <w:rPr>
                <w:rFonts w:ascii="Calibri" w:hAnsi="Calibri" w:cs="Calibri"/>
                <w:b/>
                <w:bCs/>
                <w:color w:val="FF0000"/>
                <w:sz w:val="22"/>
                <w:szCs w:val="22"/>
              </w:rPr>
              <w:t>3,2</w:t>
            </w:r>
          </w:p>
        </w:tc>
        <w:tc>
          <w:tcPr>
            <w:tcW w:w="166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13BFD657" w14:textId="6D8BDD4C" w:rsidR="00156EF2" w:rsidRPr="00B83E9D" w:rsidRDefault="0024553D" w:rsidP="00B4285D">
            <w:pPr>
              <w:overflowPunct/>
              <w:autoSpaceDE/>
              <w:autoSpaceDN/>
              <w:adjustRightInd/>
              <w:jc w:val="center"/>
              <w:textAlignment w:val="bottom"/>
              <w:rPr>
                <w:rFonts w:eastAsia="PMingLiU" w:cs="Arial"/>
                <w:b/>
                <w:bCs/>
                <w:color w:val="000000"/>
                <w:kern w:val="24"/>
                <w:szCs w:val="18"/>
              </w:rPr>
            </w:pPr>
            <w:r>
              <w:rPr>
                <w:rFonts w:eastAsia="PMingLiU" w:cs="Arial"/>
                <w:b/>
                <w:bCs/>
                <w:color w:val="000000"/>
                <w:kern w:val="24"/>
                <w:szCs w:val="18"/>
              </w:rPr>
              <w:t>1,5</w:t>
            </w:r>
          </w:p>
        </w:tc>
        <w:tc>
          <w:tcPr>
            <w:tcW w:w="1330"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405681C" w14:textId="10966AEE" w:rsidR="00156EF2" w:rsidRPr="00B83E9D" w:rsidRDefault="0024553D" w:rsidP="00B4285D">
            <w:pPr>
              <w:overflowPunct/>
              <w:autoSpaceDE/>
              <w:autoSpaceDN/>
              <w:adjustRightInd/>
              <w:jc w:val="center"/>
              <w:textAlignment w:val="bottom"/>
              <w:rPr>
                <w:rFonts w:eastAsia="PMingLiU" w:cs="Arial"/>
                <w:b/>
                <w:bCs/>
                <w:color w:val="000000"/>
                <w:kern w:val="24"/>
                <w:szCs w:val="18"/>
              </w:rPr>
            </w:pPr>
            <w:r>
              <w:rPr>
                <w:rFonts w:eastAsia="PMingLiU" w:cs="Arial"/>
                <w:b/>
                <w:bCs/>
                <w:color w:val="000000"/>
                <w:kern w:val="24"/>
                <w:szCs w:val="18"/>
              </w:rPr>
              <w:t>5,0</w:t>
            </w:r>
          </w:p>
        </w:tc>
      </w:tr>
      <w:tr w:rsidR="00156EF2" w:rsidRPr="0065675B" w14:paraId="1C64EB0D" w14:textId="0E77FC67" w:rsidTr="003123D0">
        <w:trPr>
          <w:trHeight w:val="86"/>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vAlign w:val="center"/>
            <w:hideMark/>
          </w:tcPr>
          <w:p w14:paraId="10B03657" w14:textId="77777777" w:rsidR="00156EF2" w:rsidRPr="00B83E9D" w:rsidRDefault="00156EF2" w:rsidP="00B4285D">
            <w:pPr>
              <w:autoSpaceDE/>
              <w:autoSpaceDN/>
              <w:adjustRightInd/>
              <w:jc w:val="left"/>
              <w:textAlignment w:val="auto"/>
              <w:rPr>
                <w:rFonts w:cs="Arial"/>
                <w:szCs w:val="18"/>
              </w:rPr>
            </w:pPr>
            <w:r w:rsidRPr="00B83E9D">
              <w:rPr>
                <w:rFonts w:cs="Arial"/>
                <w:b/>
                <w:bCs/>
                <w:color w:val="FFFFFF" w:themeColor="light1"/>
                <w:kern w:val="24"/>
                <w:szCs w:val="18"/>
              </w:rPr>
              <w:t>Růst bankovních vkladů klientských celkem (%)</w:t>
            </w:r>
          </w:p>
        </w:tc>
        <w:tc>
          <w:tcPr>
            <w:tcW w:w="214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437631DE" w14:textId="57721F2B" w:rsidR="00156EF2" w:rsidRPr="006C035F" w:rsidRDefault="006C035F" w:rsidP="00635F63">
            <w:pPr>
              <w:jc w:val="center"/>
              <w:rPr>
                <w:rFonts w:ascii="Calibri" w:hAnsi="Calibri" w:cs="Calibri"/>
                <w:b/>
                <w:bCs/>
                <w:color w:val="FF0000"/>
                <w:sz w:val="22"/>
                <w:szCs w:val="22"/>
              </w:rPr>
            </w:pPr>
            <w:r>
              <w:rPr>
                <w:rFonts w:ascii="Calibri" w:hAnsi="Calibri" w:cs="Calibri"/>
                <w:b/>
                <w:bCs/>
                <w:color w:val="FF0000"/>
                <w:sz w:val="22"/>
                <w:szCs w:val="22"/>
              </w:rPr>
              <w:t>10,8</w:t>
            </w:r>
          </w:p>
        </w:tc>
        <w:tc>
          <w:tcPr>
            <w:tcW w:w="166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2863EC17" w14:textId="356B3600" w:rsidR="00156EF2" w:rsidRPr="00B83E9D" w:rsidRDefault="00A4779D" w:rsidP="00B4285D">
            <w:pPr>
              <w:overflowPunct/>
              <w:autoSpaceDE/>
              <w:autoSpaceDN/>
              <w:adjustRightInd/>
              <w:jc w:val="center"/>
              <w:textAlignment w:val="bottom"/>
              <w:rPr>
                <w:rFonts w:eastAsia="PMingLiU" w:cs="Arial"/>
                <w:b/>
                <w:bCs/>
                <w:color w:val="000000"/>
                <w:kern w:val="24"/>
                <w:szCs w:val="18"/>
              </w:rPr>
            </w:pPr>
            <w:r w:rsidRPr="00B83E9D">
              <w:rPr>
                <w:rFonts w:eastAsia="PMingLiU" w:cs="Arial"/>
                <w:b/>
                <w:bCs/>
                <w:color w:val="000000"/>
                <w:kern w:val="24"/>
                <w:szCs w:val="18"/>
              </w:rPr>
              <w:t>9</w:t>
            </w:r>
            <w:r w:rsidR="0024553D">
              <w:rPr>
                <w:rFonts w:eastAsia="PMingLiU" w:cs="Arial"/>
                <w:b/>
                <w:bCs/>
                <w:color w:val="000000"/>
                <w:kern w:val="24"/>
                <w:szCs w:val="18"/>
              </w:rPr>
              <w:t>,0</w:t>
            </w:r>
          </w:p>
        </w:tc>
        <w:tc>
          <w:tcPr>
            <w:tcW w:w="1330"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C1AA335" w14:textId="63128EE3" w:rsidR="00156EF2" w:rsidRPr="00B83E9D" w:rsidRDefault="0024553D" w:rsidP="00B4285D">
            <w:pPr>
              <w:overflowPunct/>
              <w:autoSpaceDE/>
              <w:autoSpaceDN/>
              <w:adjustRightInd/>
              <w:jc w:val="center"/>
              <w:textAlignment w:val="bottom"/>
              <w:rPr>
                <w:rFonts w:eastAsia="PMingLiU" w:cs="Arial"/>
                <w:b/>
                <w:bCs/>
                <w:color w:val="000000"/>
                <w:kern w:val="24"/>
                <w:szCs w:val="18"/>
              </w:rPr>
            </w:pPr>
            <w:r>
              <w:rPr>
                <w:rFonts w:eastAsia="PMingLiU" w:cs="Arial"/>
                <w:b/>
                <w:bCs/>
                <w:color w:val="000000"/>
                <w:kern w:val="24"/>
                <w:szCs w:val="18"/>
              </w:rPr>
              <w:t>6,0</w:t>
            </w:r>
          </w:p>
        </w:tc>
      </w:tr>
    </w:tbl>
    <w:p w14:paraId="4EA149B1" w14:textId="77777777" w:rsidR="00B83E9D" w:rsidRDefault="00B83E9D" w:rsidP="00635F63">
      <w:pPr>
        <w:rPr>
          <w:rFonts w:eastAsiaTheme="minorEastAsia" w:cs="Arial"/>
        </w:rPr>
      </w:pPr>
    </w:p>
    <w:p w14:paraId="186F1902" w14:textId="77777777" w:rsidR="00B83E9D" w:rsidRDefault="00B83E9D" w:rsidP="00725295">
      <w:pPr>
        <w:rPr>
          <w:rFonts w:eastAsiaTheme="minorEastAsia" w:cs="Arial"/>
        </w:rPr>
      </w:pPr>
    </w:p>
    <w:p w14:paraId="395A8771" w14:textId="03D25613" w:rsidR="00300F2A" w:rsidRDefault="00300F2A" w:rsidP="00B4285D">
      <w:pPr>
        <w:rPr>
          <w:rFonts w:eastAsiaTheme="minorEastAsia" w:cs="Arial"/>
        </w:rPr>
      </w:pPr>
    </w:p>
    <w:p w14:paraId="1D8CBE61" w14:textId="392BEFCF" w:rsidR="00300F2A" w:rsidRDefault="00300F2A" w:rsidP="00B4285D">
      <w:pPr>
        <w:rPr>
          <w:rFonts w:eastAsiaTheme="minorEastAsia" w:cs="Arial"/>
        </w:rPr>
      </w:pPr>
    </w:p>
    <w:p w14:paraId="659B9A82" w14:textId="1D8363EA" w:rsidR="00300F2A" w:rsidRDefault="00300F2A" w:rsidP="00B4285D">
      <w:pPr>
        <w:rPr>
          <w:rFonts w:eastAsiaTheme="minorEastAsia" w:cs="Arial"/>
        </w:rPr>
      </w:pPr>
    </w:p>
    <w:p w14:paraId="549CD70E" w14:textId="77777777" w:rsidR="00300F2A" w:rsidRDefault="00300F2A" w:rsidP="00B4285D">
      <w:pPr>
        <w:rPr>
          <w:rFonts w:eastAsiaTheme="minorEastAsia" w:cs="Arial"/>
        </w:rPr>
      </w:pPr>
    </w:p>
    <w:p w14:paraId="6165227B" w14:textId="635D0D41" w:rsidR="00300F2A" w:rsidRDefault="00300F2A" w:rsidP="00B4285D">
      <w:pPr>
        <w:rPr>
          <w:rFonts w:eastAsiaTheme="minorEastAsia" w:cs="Arial"/>
        </w:rPr>
      </w:pPr>
      <w:r w:rsidRPr="00C9674F">
        <w:rPr>
          <w:noProof/>
          <w:sz w:val="16"/>
          <w:szCs w:val="16"/>
        </w:rPr>
        <mc:AlternateContent>
          <mc:Choice Requires="wps">
            <w:drawing>
              <wp:anchor distT="0" distB="0" distL="114300" distR="114300" simplePos="0" relativeHeight="251664384" behindDoc="1" locked="0" layoutInCell="1" hidden="0" allowOverlap="1" wp14:anchorId="3AF78274" wp14:editId="1E4F7394">
                <wp:simplePos x="0" y="0"/>
                <wp:positionH relativeFrom="column">
                  <wp:posOffset>-5080</wp:posOffset>
                </wp:positionH>
                <wp:positionV relativeFrom="paragraph">
                  <wp:posOffset>51435</wp:posOffset>
                </wp:positionV>
                <wp:extent cx="6476365" cy="952500"/>
                <wp:effectExtent l="0" t="0" r="635" b="0"/>
                <wp:wrapNone/>
                <wp:docPr id="4" name="Obdélník 4"/>
                <wp:cNvGraphicFramePr/>
                <a:graphic xmlns:a="http://schemas.openxmlformats.org/drawingml/2006/main">
                  <a:graphicData uri="http://schemas.microsoft.com/office/word/2010/wordprocessingShape">
                    <wps:wsp>
                      <wps:cNvSpPr/>
                      <wps:spPr>
                        <a:xfrm>
                          <a:off x="0" y="0"/>
                          <a:ext cx="6476365" cy="9525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E8B22E" w14:textId="77777777" w:rsidR="00300F2A" w:rsidRPr="00300F2A" w:rsidRDefault="00300F2A" w:rsidP="00300F2A">
                            <w:pPr>
                              <w:spacing w:line="276" w:lineRule="auto"/>
                              <w:rPr>
                                <w:rFonts w:cs="Arial"/>
                                <w:b/>
                                <w:color w:val="FFFFFF" w:themeColor="background1"/>
                                <w:szCs w:val="18"/>
                              </w:rPr>
                            </w:pPr>
                            <w:r w:rsidRPr="00300F2A">
                              <w:rPr>
                                <w:rFonts w:cs="Arial"/>
                                <w:b/>
                                <w:color w:val="FFFFFF" w:themeColor="background1"/>
                                <w:szCs w:val="18"/>
                              </w:rPr>
                              <w:t xml:space="preserve">O prognóze ČBA </w:t>
                            </w:r>
                          </w:p>
                          <w:p w14:paraId="1D088553" w14:textId="61416F2C" w:rsidR="00300F2A" w:rsidRPr="00300F2A" w:rsidRDefault="00300F2A" w:rsidP="00300F2A">
                            <w:pPr>
                              <w:spacing w:line="276" w:lineRule="auto"/>
                              <w:ind w:left="28" w:hanging="28"/>
                              <w:rPr>
                                <w:rFonts w:cs="Arial"/>
                                <w:szCs w:val="18"/>
                              </w:rPr>
                            </w:pPr>
                            <w:r w:rsidRPr="00300F2A">
                              <w:rPr>
                                <w:rFonts w:cs="Arial"/>
                                <w:szCs w:val="18"/>
                              </w:rPr>
                              <w:t>Tato prognóza vznikla na základě příspěvků analytiků 8 členských bank ČBA: Jan Vejmělek (hlavní ekonom KB), Jaromír Šindel (hlavní ekonom Citi Bank CZ), Jakub Seidler (hlavní ekonom ING CZ), Helena Horská (hlavní ekonomka RB CZ), Michal Skořepa (</w:t>
                            </w:r>
                            <w:r>
                              <w:rPr>
                                <w:rFonts w:cs="Arial"/>
                                <w:szCs w:val="18"/>
                              </w:rPr>
                              <w:t>ekonom</w:t>
                            </w:r>
                            <w:r w:rsidRPr="00300F2A">
                              <w:rPr>
                                <w:rFonts w:cs="Arial"/>
                                <w:szCs w:val="18"/>
                              </w:rPr>
                              <w:t xml:space="preserve"> ČS), Petr Dufek (hlavní ekonom ČSOB), Petr Gapko (hlavní ekonom MMB) a Petr Sklenář (hlavní ekonom J&amp;T Bank). Za ČBA se na tvorbě prognózy podílí Miroslav Zámečník.</w:t>
                            </w:r>
                          </w:p>
                          <w:p w14:paraId="6AEF894E" w14:textId="77777777" w:rsidR="00300F2A" w:rsidRPr="00A55BDD" w:rsidRDefault="00300F2A" w:rsidP="00300F2A">
                            <w:pPr>
                              <w:spacing w:line="276" w:lineRule="auto"/>
                              <w:ind w:left="28" w:hanging="28"/>
                              <w:jc w:val="left"/>
                              <w:rPr>
                                <w:sz w:val="16"/>
                                <w:szCs w:val="16"/>
                              </w:rPr>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78274" id="Obdélník 4" o:spid="_x0000_s1031" style="position:absolute;left:0;text-align:left;margin-left:-.4pt;margin-top:4.05pt;width:509.95pt;height: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" fillcolor="#bfbfbf [2412]" stroked="f" strokeweight="1pt">
                <v:textbox inset="3mm,3mm,3mm,3mm">
                  <w:txbxContent>
                    <w:p w14:paraId="7FE8B22E" w14:textId="77777777" w:rsidR="00300F2A" w:rsidRPr="00300F2A" w:rsidRDefault="00300F2A" w:rsidP="00300F2A">
                      <w:pPr>
                        <w:spacing w:line="276" w:lineRule="auto"/>
                        <w:rPr>
                          <w:rFonts w:cs="Arial"/>
                          <w:b/>
                          <w:color w:val="FFFFFF" w:themeColor="background1"/>
                          <w:szCs w:val="18"/>
                        </w:rPr>
                      </w:pPr>
                      <w:r w:rsidRPr="00300F2A">
                        <w:rPr>
                          <w:rFonts w:cs="Arial"/>
                          <w:b/>
                          <w:color w:val="FFFFFF" w:themeColor="background1"/>
                          <w:szCs w:val="18"/>
                        </w:rPr>
                        <w:t xml:space="preserve">O prognóze ČBA </w:t>
                      </w:r>
                    </w:p>
                    <w:p w14:paraId="1D088553" w14:textId="61416F2C" w:rsidR="00300F2A" w:rsidRPr="00300F2A" w:rsidRDefault="00300F2A" w:rsidP="00300F2A">
                      <w:pPr>
                        <w:spacing w:line="276" w:lineRule="auto"/>
                        <w:ind w:left="28" w:hanging="28"/>
                        <w:rPr>
                          <w:rFonts w:cs="Arial"/>
                          <w:szCs w:val="18"/>
                        </w:rPr>
                      </w:pPr>
                      <w:r w:rsidRPr="00300F2A">
                        <w:rPr>
                          <w:rFonts w:cs="Arial"/>
                          <w:szCs w:val="18"/>
                        </w:rPr>
                        <w:t>Tato prognóza vznikla na základě příspěvků analytiků 8 členských bank ČBA: Jan Vejmělek (hlavní ekonom KB), Jaromír Šindel (hlavní ekonom Citi Bank CZ), Jakub Seidler (hlavní ekonom ING CZ), Helena Horská (hlavní ekonomka RB CZ), Michal Skořepa (</w:t>
                      </w:r>
                      <w:r>
                        <w:rPr>
                          <w:rFonts w:cs="Arial"/>
                          <w:szCs w:val="18"/>
                        </w:rPr>
                        <w:t>ekonom</w:t>
                      </w:r>
                      <w:r w:rsidRPr="00300F2A">
                        <w:rPr>
                          <w:rFonts w:cs="Arial"/>
                          <w:szCs w:val="18"/>
                        </w:rPr>
                        <w:t xml:space="preserve"> ČS), Petr Dufek (hlavní ekonom ČSOB), Petr Gapko (hlavní ekonom MMB) a Petr Sklenář (hlavní ekonom J&amp;T Bank). Za ČBA se na tvorbě prognózy podílí Miroslav Zámečník.</w:t>
                      </w:r>
                    </w:p>
                    <w:p w14:paraId="6AEF894E" w14:textId="77777777" w:rsidR="00300F2A" w:rsidRPr="00A55BDD" w:rsidRDefault="00300F2A" w:rsidP="00300F2A">
                      <w:pPr>
                        <w:spacing w:line="276" w:lineRule="auto"/>
                        <w:ind w:left="28" w:hanging="28"/>
                        <w:jc w:val="left"/>
                        <w:rPr>
                          <w:sz w:val="16"/>
                          <w:szCs w:val="16"/>
                        </w:rPr>
                      </w:pPr>
                    </w:p>
                  </w:txbxContent>
                </v:textbox>
              </v:rect>
            </w:pict>
          </mc:Fallback>
        </mc:AlternateContent>
      </w:r>
    </w:p>
    <w:p w14:paraId="553BBC68" w14:textId="2997A49E" w:rsidR="00300F2A" w:rsidRDefault="00300F2A" w:rsidP="00B4285D">
      <w:pPr>
        <w:rPr>
          <w:rFonts w:eastAsiaTheme="minorEastAsia" w:cs="Arial"/>
        </w:rPr>
      </w:pPr>
    </w:p>
    <w:p w14:paraId="780FC423" w14:textId="77777777" w:rsidR="00300F2A" w:rsidRDefault="00300F2A" w:rsidP="00B4285D">
      <w:pPr>
        <w:rPr>
          <w:rFonts w:eastAsiaTheme="minorEastAsia" w:cs="Arial"/>
        </w:rPr>
      </w:pPr>
    </w:p>
    <w:p w14:paraId="46F49754" w14:textId="77777777" w:rsidR="00300F2A" w:rsidRDefault="00300F2A" w:rsidP="00B4285D">
      <w:pPr>
        <w:rPr>
          <w:rFonts w:eastAsiaTheme="minorEastAsia" w:cs="Arial"/>
        </w:rPr>
      </w:pPr>
    </w:p>
    <w:p w14:paraId="2DEAC34F" w14:textId="77777777" w:rsidR="00300F2A" w:rsidRDefault="00300F2A" w:rsidP="00B4285D">
      <w:pPr>
        <w:rPr>
          <w:rFonts w:eastAsiaTheme="minorEastAsia" w:cs="Arial"/>
        </w:rPr>
      </w:pPr>
    </w:p>
    <w:p w14:paraId="75C09620" w14:textId="0475C53D" w:rsidR="00300F2A" w:rsidRDefault="00300F2A" w:rsidP="00B4285D">
      <w:pPr>
        <w:rPr>
          <w:rFonts w:eastAsiaTheme="minorEastAsia" w:cs="Arial"/>
        </w:rPr>
      </w:pPr>
    </w:p>
    <w:p w14:paraId="2193BD85" w14:textId="77777777" w:rsidR="00300F2A" w:rsidRDefault="00300F2A" w:rsidP="00B4285D">
      <w:pPr>
        <w:rPr>
          <w:rFonts w:eastAsiaTheme="minorEastAsia" w:cs="Arial"/>
        </w:rPr>
      </w:pPr>
    </w:p>
    <w:p w14:paraId="1AE6FC8E" w14:textId="4572E236" w:rsidR="005C1943" w:rsidRPr="00517111" w:rsidRDefault="0065675B" w:rsidP="00B4285D">
      <w:pPr>
        <w:rPr>
          <w:rFonts w:eastAsiaTheme="minorEastAsia" w:cs="Arial"/>
        </w:rPr>
      </w:pPr>
      <w:r w:rsidRPr="00F615BD">
        <w:rPr>
          <w:rFonts w:eastAsiaTheme="minorEastAsia"/>
          <w:noProof/>
          <w:lang w:val="en-GB" w:eastAsia="en-GB"/>
        </w:rPr>
        <mc:AlternateContent>
          <mc:Choice Requires="wps">
            <w:drawing>
              <wp:anchor distT="0" distB="0" distL="114300" distR="114300" simplePos="0" relativeHeight="251660288" behindDoc="0" locked="0" layoutInCell="1" allowOverlap="1" wp14:anchorId="351A5361" wp14:editId="56C0884C">
                <wp:simplePos x="0" y="0"/>
                <wp:positionH relativeFrom="margin">
                  <wp:align>right</wp:align>
                </wp:positionH>
                <wp:positionV relativeFrom="paragraph">
                  <wp:posOffset>227330</wp:posOffset>
                </wp:positionV>
                <wp:extent cx="2181225" cy="1637665"/>
                <wp:effectExtent l="0" t="0" r="9525" b="635"/>
                <wp:wrapSquare wrapText="bothSides"/>
                <wp:docPr id="200" name="Obdélník 200"/>
                <wp:cNvGraphicFramePr/>
                <a:graphic xmlns:a="http://schemas.openxmlformats.org/drawingml/2006/main">
                  <a:graphicData uri="http://schemas.microsoft.com/office/word/2010/wordprocessingShape">
                    <wps:wsp>
                      <wps:cNvSpPr/>
                      <wps:spPr>
                        <a:xfrm>
                          <a:off x="0" y="0"/>
                          <a:ext cx="2181225" cy="1637665"/>
                        </a:xfrm>
                        <a:prstGeom prst="rect">
                          <a:avLst/>
                        </a:prstGeom>
                        <a:solidFill>
                          <a:srgbClr val="007E79">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C95292" w14:textId="77777777" w:rsidR="00536B9B" w:rsidRPr="005A44FF" w:rsidRDefault="00536B9B" w:rsidP="00044002">
                            <w:pPr>
                              <w:spacing w:line="276" w:lineRule="auto"/>
                              <w:ind w:left="28" w:hanging="28"/>
                              <w:jc w:val="left"/>
                              <w:outlineLvl w:val="0"/>
                              <w:rPr>
                                <w:rFonts w:cs="Arial"/>
                                <w:b/>
                                <w:sz w:val="20"/>
                                <w:szCs w:val="18"/>
                              </w:rPr>
                            </w:pPr>
                            <w:r w:rsidRPr="005A44FF">
                              <w:rPr>
                                <w:rFonts w:cs="Arial"/>
                                <w:b/>
                                <w:sz w:val="20"/>
                                <w:szCs w:val="18"/>
                              </w:rPr>
                              <w:t xml:space="preserve">Další informace </w:t>
                            </w:r>
                          </w:p>
                          <w:p w14:paraId="187194D7" w14:textId="77777777" w:rsidR="00536B9B" w:rsidRPr="005A44FF" w:rsidRDefault="00536B9B" w:rsidP="00044002">
                            <w:pPr>
                              <w:spacing w:line="276" w:lineRule="auto"/>
                              <w:ind w:left="28" w:hanging="28"/>
                              <w:jc w:val="left"/>
                              <w:outlineLvl w:val="0"/>
                              <w:rPr>
                                <w:rFonts w:cs="Arial"/>
                                <w:b/>
                                <w:sz w:val="20"/>
                                <w:szCs w:val="18"/>
                              </w:rPr>
                            </w:pPr>
                            <w:r w:rsidRPr="005A44FF">
                              <w:rPr>
                                <w:rFonts w:cs="Arial"/>
                                <w:b/>
                                <w:sz w:val="20"/>
                                <w:szCs w:val="18"/>
                              </w:rPr>
                              <w:t>obdržíte na adrese:</w:t>
                            </w:r>
                          </w:p>
                          <w:p w14:paraId="5867C1DD" w14:textId="77777777" w:rsidR="00536B9B" w:rsidRPr="003D3951" w:rsidRDefault="00536B9B" w:rsidP="00044002">
                            <w:pPr>
                              <w:spacing w:line="276" w:lineRule="auto"/>
                              <w:jc w:val="left"/>
                              <w:rPr>
                                <w:rFonts w:cs="Arial"/>
                                <w:b/>
                                <w:szCs w:val="18"/>
                              </w:rPr>
                            </w:pPr>
                          </w:p>
                          <w:p w14:paraId="1F85193F" w14:textId="77777777" w:rsidR="00536B9B" w:rsidRPr="005A44FF" w:rsidRDefault="00536B9B" w:rsidP="00044002">
                            <w:pPr>
                              <w:spacing w:line="276" w:lineRule="auto"/>
                              <w:jc w:val="left"/>
                              <w:rPr>
                                <w:rFonts w:cs="Arial"/>
                                <w:noProof/>
                                <w:szCs w:val="18"/>
                              </w:rPr>
                            </w:pPr>
                            <w:r w:rsidRPr="005A44FF">
                              <w:rPr>
                                <w:rFonts w:cs="Arial"/>
                                <w:noProof/>
                                <w:szCs w:val="18"/>
                              </w:rPr>
                              <w:t xml:space="preserve">Monika Petrásková, </w:t>
                            </w:r>
                          </w:p>
                          <w:p w14:paraId="5026572F" w14:textId="77777777" w:rsidR="00536B9B" w:rsidRPr="005A44FF" w:rsidRDefault="00536B9B" w:rsidP="00044002">
                            <w:pPr>
                              <w:spacing w:line="276" w:lineRule="auto"/>
                              <w:jc w:val="left"/>
                              <w:rPr>
                                <w:rFonts w:cs="Arial"/>
                                <w:szCs w:val="18"/>
                              </w:rPr>
                            </w:pPr>
                            <w:r w:rsidRPr="005A44FF">
                              <w:rPr>
                                <w:rFonts w:cs="Arial"/>
                                <w:noProof/>
                                <w:szCs w:val="18"/>
                              </w:rPr>
                              <w:t>m</w:t>
                            </w:r>
                            <w:r w:rsidRPr="005A44FF">
                              <w:rPr>
                                <w:rFonts w:cs="Arial"/>
                                <w:szCs w:val="18"/>
                              </w:rPr>
                              <w:t>anažerka PR a komunikace ČBA</w:t>
                            </w:r>
                          </w:p>
                          <w:p w14:paraId="69EB82FC" w14:textId="3559271E" w:rsidR="00536B9B" w:rsidRPr="005A44FF" w:rsidRDefault="00536B9B" w:rsidP="00044002">
                            <w:pPr>
                              <w:spacing w:line="276" w:lineRule="auto"/>
                              <w:jc w:val="left"/>
                              <w:rPr>
                                <w:rFonts w:cs="Arial"/>
                                <w:szCs w:val="18"/>
                              </w:rPr>
                            </w:pPr>
                            <w:r>
                              <w:rPr>
                                <w:rFonts w:cs="Arial"/>
                                <w:szCs w:val="18"/>
                              </w:rPr>
                              <w:t>monika.</w:t>
                            </w:r>
                            <w:r w:rsidRPr="005A44FF">
                              <w:rPr>
                                <w:rFonts w:cs="Arial"/>
                                <w:szCs w:val="18"/>
                              </w:rPr>
                              <w:t>petraskova@</w:t>
                            </w:r>
                            <w:r>
                              <w:rPr>
                                <w:rFonts w:cs="Arial"/>
                                <w:szCs w:val="18"/>
                              </w:rPr>
                              <w:t>cbaonline</w:t>
                            </w:r>
                            <w:r w:rsidRPr="005A44FF">
                              <w:rPr>
                                <w:rFonts w:cs="Arial"/>
                                <w:szCs w:val="18"/>
                              </w:rPr>
                              <w:t>.cz</w:t>
                            </w:r>
                          </w:p>
                          <w:p w14:paraId="0B0CE061" w14:textId="77777777" w:rsidR="00536B9B" w:rsidRPr="005A44FF" w:rsidRDefault="00536B9B" w:rsidP="00044002">
                            <w:pPr>
                              <w:spacing w:line="276" w:lineRule="auto"/>
                              <w:jc w:val="left"/>
                              <w:rPr>
                                <w:rFonts w:cs="Arial"/>
                                <w:szCs w:val="18"/>
                              </w:rPr>
                            </w:pPr>
                            <w:r w:rsidRPr="005A44FF">
                              <w:rPr>
                                <w:rFonts w:cs="Arial"/>
                                <w:szCs w:val="18"/>
                              </w:rPr>
                              <w:t>tel: + 420 733 130 282</w:t>
                            </w:r>
                          </w:p>
                          <w:p w14:paraId="0808B31F" w14:textId="77777777" w:rsidR="00536B9B" w:rsidRDefault="00536B9B" w:rsidP="00044002">
                            <w:pPr>
                              <w:jc w:val="left"/>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A5361" id="Obdélník 200" o:spid="_x0000_s1031" style="position:absolute;left:0;text-align:left;margin-left:120.55pt;margin-top:17.9pt;width:171.75pt;height:128.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" fillcolor="#007e79" stroked="f" strokeweight="1pt">
                <v:fill opacity="32639f"/>
                <v:textbox inset="3mm,3mm,3mm,3mm">
                  <w:txbxContent>
                    <w:p w14:paraId="7AC95292" w14:textId="77777777" w:rsidR="00536B9B" w:rsidRPr="005A44FF" w:rsidRDefault="00536B9B" w:rsidP="00044002">
                      <w:pPr>
                        <w:spacing w:line="276" w:lineRule="auto"/>
                        <w:ind w:left="28" w:hanging="28"/>
                        <w:jc w:val="left"/>
                        <w:outlineLvl w:val="0"/>
                        <w:rPr>
                          <w:rFonts w:cs="Arial"/>
                          <w:b/>
                          <w:sz w:val="20"/>
                          <w:szCs w:val="18"/>
                        </w:rPr>
                      </w:pPr>
                      <w:r w:rsidRPr="005A44FF">
                        <w:rPr>
                          <w:rFonts w:cs="Arial"/>
                          <w:b/>
                          <w:sz w:val="20"/>
                          <w:szCs w:val="18"/>
                        </w:rPr>
                        <w:t xml:space="preserve">Další informace </w:t>
                      </w:r>
                    </w:p>
                    <w:p w14:paraId="187194D7" w14:textId="77777777" w:rsidR="00536B9B" w:rsidRPr="005A44FF" w:rsidRDefault="00536B9B" w:rsidP="00044002">
                      <w:pPr>
                        <w:spacing w:line="276" w:lineRule="auto"/>
                        <w:ind w:left="28" w:hanging="28"/>
                        <w:jc w:val="left"/>
                        <w:outlineLvl w:val="0"/>
                        <w:rPr>
                          <w:rFonts w:cs="Arial"/>
                          <w:b/>
                          <w:sz w:val="20"/>
                          <w:szCs w:val="18"/>
                        </w:rPr>
                      </w:pPr>
                      <w:r w:rsidRPr="005A44FF">
                        <w:rPr>
                          <w:rFonts w:cs="Arial"/>
                          <w:b/>
                          <w:sz w:val="20"/>
                          <w:szCs w:val="18"/>
                        </w:rPr>
                        <w:t>obdržíte na adrese:</w:t>
                      </w:r>
                    </w:p>
                    <w:p w14:paraId="5867C1DD" w14:textId="77777777" w:rsidR="00536B9B" w:rsidRPr="003D3951" w:rsidRDefault="00536B9B" w:rsidP="00044002">
                      <w:pPr>
                        <w:spacing w:line="276" w:lineRule="auto"/>
                        <w:jc w:val="left"/>
                        <w:rPr>
                          <w:rFonts w:cs="Arial"/>
                          <w:b/>
                          <w:szCs w:val="18"/>
                        </w:rPr>
                      </w:pPr>
                    </w:p>
                    <w:p w14:paraId="1F85193F" w14:textId="77777777" w:rsidR="00536B9B" w:rsidRPr="005A44FF" w:rsidRDefault="00536B9B" w:rsidP="00044002">
                      <w:pPr>
                        <w:spacing w:line="276" w:lineRule="auto"/>
                        <w:jc w:val="left"/>
                        <w:rPr>
                          <w:rFonts w:cs="Arial"/>
                          <w:noProof/>
                          <w:szCs w:val="18"/>
                        </w:rPr>
                      </w:pPr>
                      <w:r w:rsidRPr="005A44FF">
                        <w:rPr>
                          <w:rFonts w:cs="Arial"/>
                          <w:noProof/>
                          <w:szCs w:val="18"/>
                        </w:rPr>
                        <w:t xml:space="preserve">Monika Petrásková, </w:t>
                      </w:r>
                    </w:p>
                    <w:p w14:paraId="5026572F" w14:textId="77777777" w:rsidR="00536B9B" w:rsidRPr="005A44FF" w:rsidRDefault="00536B9B" w:rsidP="00044002">
                      <w:pPr>
                        <w:spacing w:line="276" w:lineRule="auto"/>
                        <w:jc w:val="left"/>
                        <w:rPr>
                          <w:rFonts w:cs="Arial"/>
                          <w:szCs w:val="18"/>
                        </w:rPr>
                      </w:pPr>
                      <w:r w:rsidRPr="005A44FF">
                        <w:rPr>
                          <w:rFonts w:cs="Arial"/>
                          <w:noProof/>
                          <w:szCs w:val="18"/>
                        </w:rPr>
                        <w:t>m</w:t>
                      </w:r>
                      <w:proofErr w:type="spellStart"/>
                      <w:r w:rsidRPr="005A44FF">
                        <w:rPr>
                          <w:rFonts w:cs="Arial"/>
                          <w:szCs w:val="18"/>
                        </w:rPr>
                        <w:t>anažerka</w:t>
                      </w:r>
                      <w:proofErr w:type="spellEnd"/>
                      <w:r w:rsidRPr="005A44FF">
                        <w:rPr>
                          <w:rFonts w:cs="Arial"/>
                          <w:szCs w:val="18"/>
                        </w:rPr>
                        <w:t xml:space="preserve"> PR a komunikace ČBA</w:t>
                      </w:r>
                    </w:p>
                    <w:p w14:paraId="69EB82FC" w14:textId="3559271E" w:rsidR="00536B9B" w:rsidRPr="005A44FF" w:rsidRDefault="00536B9B" w:rsidP="00044002">
                      <w:pPr>
                        <w:spacing w:line="276" w:lineRule="auto"/>
                        <w:jc w:val="left"/>
                        <w:rPr>
                          <w:rFonts w:cs="Arial"/>
                          <w:szCs w:val="18"/>
                        </w:rPr>
                      </w:pPr>
                      <w:r>
                        <w:rPr>
                          <w:rFonts w:cs="Arial"/>
                          <w:szCs w:val="18"/>
                        </w:rPr>
                        <w:t>monika.</w:t>
                      </w:r>
                      <w:r w:rsidRPr="005A44FF">
                        <w:rPr>
                          <w:rFonts w:cs="Arial"/>
                          <w:szCs w:val="18"/>
                        </w:rPr>
                        <w:t>petraskova@</w:t>
                      </w:r>
                      <w:r>
                        <w:rPr>
                          <w:rFonts w:cs="Arial"/>
                          <w:szCs w:val="18"/>
                        </w:rPr>
                        <w:t>cbaonline</w:t>
                      </w:r>
                      <w:r w:rsidRPr="005A44FF">
                        <w:rPr>
                          <w:rFonts w:cs="Arial"/>
                          <w:szCs w:val="18"/>
                        </w:rPr>
                        <w:t>.cz</w:t>
                      </w:r>
                    </w:p>
                    <w:p w14:paraId="0B0CE061" w14:textId="77777777" w:rsidR="00536B9B" w:rsidRPr="005A44FF" w:rsidRDefault="00536B9B" w:rsidP="00044002">
                      <w:pPr>
                        <w:spacing w:line="276" w:lineRule="auto"/>
                        <w:jc w:val="left"/>
                        <w:rPr>
                          <w:rFonts w:cs="Arial"/>
                          <w:szCs w:val="18"/>
                        </w:rPr>
                      </w:pPr>
                      <w:r w:rsidRPr="005A44FF">
                        <w:rPr>
                          <w:rFonts w:cs="Arial"/>
                          <w:szCs w:val="18"/>
                        </w:rPr>
                        <w:t>tel: + 420 733 130 282</w:t>
                      </w:r>
                    </w:p>
                    <w:p w14:paraId="0808B31F" w14:textId="77777777" w:rsidR="00536B9B" w:rsidRDefault="00536B9B" w:rsidP="00044002">
                      <w:pPr>
                        <w:jc w:val="left"/>
                      </w:pPr>
                    </w:p>
                  </w:txbxContent>
                </v:textbox>
                <w10:wrap type="square" anchorx="margin"/>
              </v:rect>
            </w:pict>
          </mc:Fallback>
        </mc:AlternateContent>
      </w:r>
      <w:r w:rsidRPr="00F615BD">
        <w:rPr>
          <w:rFonts w:eastAsiaTheme="minorEastAsia"/>
          <w:noProof/>
          <w:lang w:val="en-GB" w:eastAsia="en-GB"/>
        </w:rPr>
        <mc:AlternateContent>
          <mc:Choice Requires="wps">
            <w:drawing>
              <wp:anchor distT="0" distB="0" distL="114300" distR="114300" simplePos="0" relativeHeight="251659264" behindDoc="0" locked="0" layoutInCell="1" allowOverlap="1" wp14:anchorId="12989396" wp14:editId="028F67A9">
                <wp:simplePos x="0" y="0"/>
                <wp:positionH relativeFrom="margin">
                  <wp:align>left</wp:align>
                </wp:positionH>
                <wp:positionV relativeFrom="paragraph">
                  <wp:posOffset>227330</wp:posOffset>
                </wp:positionV>
                <wp:extent cx="4111625" cy="1637665"/>
                <wp:effectExtent l="0" t="0" r="3175" b="635"/>
                <wp:wrapSquare wrapText="bothSides"/>
                <wp:docPr id="199" name="Obdélník 199"/>
                <wp:cNvGraphicFramePr/>
                <a:graphic xmlns:a="http://schemas.openxmlformats.org/drawingml/2006/main">
                  <a:graphicData uri="http://schemas.microsoft.com/office/word/2010/wordprocessingShape">
                    <wps:wsp>
                      <wps:cNvSpPr/>
                      <wps:spPr>
                        <a:xfrm>
                          <a:off x="0" y="0"/>
                          <a:ext cx="4111625" cy="163766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1160DE" w14:textId="77777777" w:rsidR="00536B9B" w:rsidRPr="005A44FF" w:rsidRDefault="00536B9B" w:rsidP="00044002">
                            <w:pPr>
                              <w:pStyle w:val="Standard"/>
                              <w:spacing w:line="276" w:lineRule="auto"/>
                              <w:jc w:val="left"/>
                              <w:rPr>
                                <w:rFonts w:cs="Arial"/>
                                <w:b/>
                                <w:sz w:val="20"/>
                                <w:szCs w:val="18"/>
                              </w:rPr>
                            </w:pPr>
                            <w:r w:rsidRPr="005A44FF">
                              <w:rPr>
                                <w:rFonts w:cs="Arial"/>
                                <w:b/>
                                <w:sz w:val="20"/>
                                <w:szCs w:val="18"/>
                              </w:rPr>
                              <w:t>O České bankovní asociaci</w:t>
                            </w:r>
                          </w:p>
                          <w:p w14:paraId="51BDEFCD" w14:textId="1B0A1AB6" w:rsidR="00536B9B" w:rsidRPr="00F67E6A" w:rsidRDefault="00536B9B" w:rsidP="00044002">
                            <w:pPr>
                              <w:pStyle w:val="Standard"/>
                              <w:spacing w:line="276" w:lineRule="auto"/>
                              <w:ind w:left="28" w:hanging="28"/>
                              <w:jc w:val="left"/>
                              <w:rPr>
                                <w:rFonts w:cs="Arial"/>
                                <w:szCs w:val="18"/>
                              </w:rPr>
                            </w:pPr>
                            <w:r w:rsidRPr="003D3951">
                              <w:rPr>
                                <w:rFonts w:cs="Arial"/>
                                <w:szCs w:val="18"/>
                              </w:rPr>
                              <w:t xml:space="preserve">Česká bankovní asociace vznikla v roce 1990 a je dobrovolným sdružením právnických osob podnikajících v oblasti peněžnictví. V současné době sdružuje </w:t>
                            </w:r>
                            <w:r w:rsidR="005E5B52">
                              <w:rPr>
                                <w:rFonts w:cs="Arial"/>
                                <w:szCs w:val="18"/>
                              </w:rPr>
                              <w:t>37</w:t>
                            </w:r>
                            <w:r w:rsidRPr="003D3951">
                              <w:rPr>
                                <w:rFonts w:cs="Arial"/>
                                <w:szCs w:val="18"/>
                              </w:rPr>
                              <w:t xml:space="preserve"> členů. Rolí asociace je především zastupovat a prosazovat společné zájmy členů, prezentovat roli a zájmy bankovnictví vůči veřejnosti, podílet se na standardizaci postupů v</w:t>
                            </w:r>
                            <w:r w:rsidRPr="003D3951">
                              <w:rPr>
                                <w:rFonts w:cs="Arial"/>
                                <w:i/>
                                <w:sz w:val="20"/>
                              </w:rPr>
                              <w:t> </w:t>
                            </w:r>
                            <w:r w:rsidRPr="003D3951">
                              <w:rPr>
                                <w:rFonts w:cs="Arial"/>
                                <w:szCs w:val="18"/>
                              </w:rPr>
                              <w:t>bankovnictví a na vytváření odborných zvyklostí, podporovat harmonizaci bankovní legislativy s legislativou Evropské unie a vyvíjet aktivitu v informativní a školící oblasti. ČBA je členem Evropské bankovní federace a</w:t>
                            </w:r>
                            <w:r w:rsidRPr="003D3951">
                              <w:rPr>
                                <w:rFonts w:cs="Arial"/>
                                <w:i/>
                                <w:sz w:val="20"/>
                              </w:rPr>
                              <w:t> </w:t>
                            </w:r>
                            <w:r w:rsidRPr="003D3951">
                              <w:rPr>
                                <w:rFonts w:cs="Arial"/>
                                <w:szCs w:val="18"/>
                              </w:rPr>
                              <w:t>EMMI.</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89396" id="Obdélník 199" o:spid="_x0000_s1032" style="position:absolute;left:0;text-align:left;margin-left:0;margin-top:17.9pt;width:323.75pt;height:128.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" fillcolor="#bfbfbf [2412]" stroked="f" strokeweight="1pt">
                <v:textbox inset="3mm,3mm,3mm,3mm">
                  <w:txbxContent>
                    <w:p w14:paraId="4C1160DE" w14:textId="77777777" w:rsidR="00536B9B" w:rsidRPr="005A44FF" w:rsidRDefault="00536B9B" w:rsidP="00044002">
                      <w:pPr>
                        <w:pStyle w:val="Standard"/>
                        <w:spacing w:line="276" w:lineRule="auto"/>
                        <w:jc w:val="left"/>
                        <w:rPr>
                          <w:rFonts w:cs="Arial"/>
                          <w:b/>
                          <w:sz w:val="20"/>
                          <w:szCs w:val="18"/>
                        </w:rPr>
                      </w:pPr>
                      <w:r w:rsidRPr="005A44FF">
                        <w:rPr>
                          <w:rFonts w:cs="Arial"/>
                          <w:b/>
                          <w:sz w:val="20"/>
                          <w:szCs w:val="18"/>
                        </w:rPr>
                        <w:t>O České bankovní asociaci</w:t>
                      </w:r>
                    </w:p>
                    <w:p w14:paraId="51BDEFCD" w14:textId="1B0A1AB6" w:rsidR="00536B9B" w:rsidRPr="00F67E6A" w:rsidRDefault="00536B9B" w:rsidP="00044002">
                      <w:pPr>
                        <w:pStyle w:val="Standard"/>
                        <w:spacing w:line="276" w:lineRule="auto"/>
                        <w:ind w:left="28" w:hanging="28"/>
                        <w:jc w:val="left"/>
                        <w:rPr>
                          <w:rFonts w:cs="Arial"/>
                          <w:szCs w:val="18"/>
                        </w:rPr>
                      </w:pPr>
                      <w:r w:rsidRPr="003D3951">
                        <w:rPr>
                          <w:rFonts w:cs="Arial"/>
                          <w:szCs w:val="18"/>
                        </w:rPr>
                        <w:t xml:space="preserve">Česká bankovní asociace vznikla v roce 1990 a je dobrovolným sdružením právnických osob podnikajících v oblasti peněžnictví. V současné době sdružuje </w:t>
                      </w:r>
                      <w:r w:rsidR="005E5B52">
                        <w:rPr>
                          <w:rFonts w:cs="Arial"/>
                          <w:szCs w:val="18"/>
                        </w:rPr>
                        <w:t>37</w:t>
                      </w:r>
                      <w:r w:rsidRPr="003D3951">
                        <w:rPr>
                          <w:rFonts w:cs="Arial"/>
                          <w:szCs w:val="18"/>
                        </w:rPr>
                        <w:t xml:space="preserve"> členů. Rolí asociace je především zastupovat a prosazovat společné zájmy členů, prezentovat roli a zájmy bankovnictví vůči veřejnosti, podílet se na standardizaci postupů v</w:t>
                      </w:r>
                      <w:r w:rsidRPr="003D3951">
                        <w:rPr>
                          <w:rFonts w:cs="Arial"/>
                          <w:i/>
                          <w:sz w:val="20"/>
                        </w:rPr>
                        <w:t> </w:t>
                      </w:r>
                      <w:r w:rsidRPr="003D3951">
                        <w:rPr>
                          <w:rFonts w:cs="Arial"/>
                          <w:szCs w:val="18"/>
                        </w:rPr>
                        <w:t>bankovnictví a na vytváření odborných zvyklostí, podporovat harmonizaci bankovní legislativy s legislativou Evropské unie a vyvíjet aktivitu v informativní a školící oblasti. ČBA je členem Evropské bankovní federace a</w:t>
                      </w:r>
                      <w:r w:rsidRPr="003D3951">
                        <w:rPr>
                          <w:rFonts w:cs="Arial"/>
                          <w:i/>
                          <w:sz w:val="20"/>
                        </w:rPr>
                        <w:t> </w:t>
                      </w:r>
                      <w:r w:rsidRPr="003D3951">
                        <w:rPr>
                          <w:rFonts w:cs="Arial"/>
                          <w:szCs w:val="18"/>
                        </w:rPr>
                        <w:t>EMMI.</w:t>
                      </w:r>
                    </w:p>
                  </w:txbxContent>
                </v:textbox>
                <w10:wrap type="square" anchorx="margin"/>
              </v:rect>
            </w:pict>
          </mc:Fallback>
        </mc:AlternateContent>
      </w:r>
    </w:p>
    <w:sectPr w:rsidR="005C1943" w:rsidRPr="00517111" w:rsidSect="00D36FE1">
      <w:headerReference w:type="default" r:id="rId8"/>
      <w:footerReference w:type="default" r:id="rId9"/>
      <w:pgSz w:w="11906" w:h="16838"/>
      <w:pgMar w:top="2552" w:right="851" w:bottom="1560"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210EE" w14:textId="77777777" w:rsidR="00026B9B" w:rsidRDefault="00026B9B" w:rsidP="00F573F1">
      <w:r>
        <w:separator/>
      </w:r>
    </w:p>
  </w:endnote>
  <w:endnote w:type="continuationSeparator" w:id="0">
    <w:p w14:paraId="0D719402" w14:textId="77777777" w:rsidR="00026B9B" w:rsidRDefault="00026B9B" w:rsidP="00F573F1">
      <w:r>
        <w:continuationSeparator/>
      </w:r>
    </w:p>
  </w:endnote>
  <w:endnote w:type="continuationNotice" w:id="1">
    <w:p w14:paraId="33163B5B" w14:textId="77777777" w:rsidR="00026B9B" w:rsidRDefault="00026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PMingLiU">
    <w:altName w:val="新細明體"/>
    <w:panose1 w:val="02010601000101010101"/>
    <w:charset w:val="88"/>
    <w:family w:val="roman"/>
    <w:pitch w:val="variable"/>
    <w:sig w:usb0="00000001" w:usb1="08080000" w:usb2="00000010" w:usb3="00000000" w:csb0="00100000" w:csb1="00000000"/>
  </w:font>
  <w:font w:name="Calibri Light">
    <w:panose1 w:val="020F0302020204030204"/>
    <w:charset w:val="EE"/>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10609000101010101"/>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A6A6A6" w:themeColor="background1" w:themeShade="A6"/>
        <w:sz w:val="14"/>
      </w:rPr>
      <w:id w:val="-915778797"/>
      <w:docPartObj>
        <w:docPartGallery w:val="Page Numbers (Bottom of Page)"/>
        <w:docPartUnique/>
      </w:docPartObj>
    </w:sdtPr>
    <w:sdtEndPr/>
    <w:sdtContent>
      <w:p w14:paraId="13CE44BD" w14:textId="5953BB33" w:rsidR="00536B9B" w:rsidRPr="00FB4A1C" w:rsidRDefault="00536B9B" w:rsidP="005E5B52">
        <w:pPr>
          <w:pStyle w:val="Zpat"/>
          <w:jc w:val="right"/>
          <w:rPr>
            <w:color w:val="A6A6A6" w:themeColor="background1" w:themeShade="A6"/>
            <w:sz w:val="14"/>
          </w:rPr>
        </w:pPr>
        <w:r w:rsidRPr="00FB4A1C">
          <w:rPr>
            <w:color w:val="A6A6A6" w:themeColor="background1" w:themeShade="A6"/>
            <w:sz w:val="14"/>
          </w:rPr>
          <w:fldChar w:fldCharType="begin"/>
        </w:r>
        <w:r w:rsidRPr="00FB4A1C">
          <w:rPr>
            <w:color w:val="A6A6A6" w:themeColor="background1" w:themeShade="A6"/>
            <w:sz w:val="14"/>
          </w:rPr>
          <w:instrText>PAGE   \* MERGEFORMAT</w:instrText>
        </w:r>
        <w:r w:rsidRPr="00FB4A1C">
          <w:rPr>
            <w:color w:val="A6A6A6" w:themeColor="background1" w:themeShade="A6"/>
            <w:sz w:val="14"/>
          </w:rPr>
          <w:fldChar w:fldCharType="separate"/>
        </w:r>
        <w:r w:rsidR="003366D7">
          <w:rPr>
            <w:noProof/>
            <w:color w:val="A6A6A6" w:themeColor="background1" w:themeShade="A6"/>
            <w:sz w:val="14"/>
          </w:rPr>
          <w:t>5</w:t>
        </w:r>
        <w:r w:rsidRPr="00FB4A1C">
          <w:rPr>
            <w:color w:val="A6A6A6" w:themeColor="background1" w:themeShade="A6"/>
            <w:sz w:val="14"/>
          </w:rPr>
          <w:fldChar w:fldCharType="end"/>
        </w:r>
        <w:r w:rsidR="005E5B52">
          <w:rPr>
            <w:color w:val="A6A6A6" w:themeColor="background1" w:themeShade="A6"/>
            <w:sz w:val="14"/>
          </w:rPr>
          <w:t>/5</w:t>
        </w:r>
      </w:p>
    </w:sdtContent>
  </w:sdt>
  <w:p w14:paraId="6B2FBE8E" w14:textId="77777777" w:rsidR="00536B9B" w:rsidRPr="00FB4A1C" w:rsidRDefault="00536B9B" w:rsidP="00FB4A1C">
    <w:pPr>
      <w:pStyle w:val="Zpat"/>
      <w:tabs>
        <w:tab w:val="clear" w:pos="4536"/>
        <w:tab w:val="clear" w:pos="9072"/>
        <w:tab w:val="left" w:pos="6080"/>
      </w:tabs>
      <w:rPr>
        <w:color w:val="A6A6A6" w:themeColor="background1" w:themeShade="A6"/>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33619" w14:textId="77777777" w:rsidR="00026B9B" w:rsidRDefault="00026B9B" w:rsidP="00F573F1">
      <w:r>
        <w:separator/>
      </w:r>
    </w:p>
  </w:footnote>
  <w:footnote w:type="continuationSeparator" w:id="0">
    <w:p w14:paraId="63A32066" w14:textId="77777777" w:rsidR="00026B9B" w:rsidRDefault="00026B9B" w:rsidP="00F573F1">
      <w:r>
        <w:continuationSeparator/>
      </w:r>
    </w:p>
  </w:footnote>
  <w:footnote w:type="continuationNotice" w:id="1">
    <w:p w14:paraId="2EA2B4C6" w14:textId="77777777" w:rsidR="00026B9B" w:rsidRDefault="00026B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D06E3" w14:textId="52D82906" w:rsidR="00536B9B" w:rsidRDefault="00536B9B">
    <w:pPr>
      <w:pStyle w:val="Zhlav"/>
    </w:pPr>
    <w:r w:rsidRPr="00F615BD">
      <w:rPr>
        <w:noProof/>
        <w:lang w:val="en-GB" w:eastAsia="en-GB"/>
      </w:rPr>
      <w:drawing>
        <wp:anchor distT="0" distB="0" distL="114300" distR="114300" simplePos="0" relativeHeight="251659264" behindDoc="1" locked="0" layoutInCell="1" allowOverlap="1" wp14:anchorId="08F9921F" wp14:editId="696766EE">
          <wp:simplePos x="0" y="0"/>
          <wp:positionH relativeFrom="page">
            <wp:posOffset>112395</wp:posOffset>
          </wp:positionH>
          <wp:positionV relativeFrom="paragraph">
            <wp:posOffset>-413385</wp:posOffset>
          </wp:positionV>
          <wp:extent cx="3196206" cy="1612900"/>
          <wp:effectExtent l="0" t="0" r="4445" b="635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ČBA_logo_cz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6206" cy="1612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8A7"/>
    <w:multiLevelType w:val="hybridMultilevel"/>
    <w:tmpl w:val="ADD42E08"/>
    <w:lvl w:ilvl="0" w:tplc="9B0CBF2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615A72"/>
    <w:multiLevelType w:val="hybridMultilevel"/>
    <w:tmpl w:val="4222A8D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 w15:restartNumberingAfterBreak="0">
    <w:nsid w:val="1BE42FC1"/>
    <w:multiLevelType w:val="hybridMultilevel"/>
    <w:tmpl w:val="C296AEE6"/>
    <w:lvl w:ilvl="0" w:tplc="B25606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12C4DCE"/>
    <w:multiLevelType w:val="hybridMultilevel"/>
    <w:tmpl w:val="D4D47A08"/>
    <w:lvl w:ilvl="0" w:tplc="F062A1E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786F60"/>
    <w:multiLevelType w:val="hybridMultilevel"/>
    <w:tmpl w:val="3232EEBE"/>
    <w:lvl w:ilvl="0" w:tplc="491E844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A8B2CEC"/>
    <w:multiLevelType w:val="hybridMultilevel"/>
    <w:tmpl w:val="FDB00238"/>
    <w:lvl w:ilvl="0" w:tplc="BD9EF866">
      <w:start w:val="1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4C57BCF"/>
    <w:multiLevelType w:val="hybridMultilevel"/>
    <w:tmpl w:val="3554269C"/>
    <w:lvl w:ilvl="0" w:tplc="F52C1D16">
      <w:numFmt w:val="bullet"/>
      <w:lvlText w:val="-"/>
      <w:lvlJc w:val="left"/>
      <w:pPr>
        <w:ind w:left="720" w:hanging="360"/>
      </w:pPr>
      <w:rPr>
        <w:rFonts w:ascii="Calibri" w:eastAsia="PMingLiU"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84F41FF"/>
    <w:multiLevelType w:val="hybridMultilevel"/>
    <w:tmpl w:val="06ECF1A8"/>
    <w:lvl w:ilvl="0" w:tplc="7216123C">
      <w:start w:val="1"/>
      <w:numFmt w:val="bullet"/>
      <w:lvlText w:val="-"/>
      <w:lvlJc w:val="left"/>
      <w:pPr>
        <w:tabs>
          <w:tab w:val="num" w:pos="720"/>
        </w:tabs>
        <w:ind w:left="720" w:hanging="360"/>
      </w:pPr>
      <w:rPr>
        <w:rFonts w:ascii="Arial" w:hAnsi="Arial" w:hint="default"/>
      </w:rPr>
    </w:lvl>
    <w:lvl w:ilvl="1" w:tplc="D4D69B72" w:tentative="1">
      <w:start w:val="1"/>
      <w:numFmt w:val="bullet"/>
      <w:lvlText w:val="-"/>
      <w:lvlJc w:val="left"/>
      <w:pPr>
        <w:tabs>
          <w:tab w:val="num" w:pos="1440"/>
        </w:tabs>
        <w:ind w:left="1440" w:hanging="360"/>
      </w:pPr>
      <w:rPr>
        <w:rFonts w:ascii="Arial" w:hAnsi="Arial" w:hint="default"/>
      </w:rPr>
    </w:lvl>
    <w:lvl w:ilvl="2" w:tplc="F4A4DA8A" w:tentative="1">
      <w:start w:val="1"/>
      <w:numFmt w:val="bullet"/>
      <w:lvlText w:val="-"/>
      <w:lvlJc w:val="left"/>
      <w:pPr>
        <w:tabs>
          <w:tab w:val="num" w:pos="2160"/>
        </w:tabs>
        <w:ind w:left="2160" w:hanging="360"/>
      </w:pPr>
      <w:rPr>
        <w:rFonts w:ascii="Arial" w:hAnsi="Arial" w:hint="default"/>
      </w:rPr>
    </w:lvl>
    <w:lvl w:ilvl="3" w:tplc="992E1B1C" w:tentative="1">
      <w:start w:val="1"/>
      <w:numFmt w:val="bullet"/>
      <w:lvlText w:val="-"/>
      <w:lvlJc w:val="left"/>
      <w:pPr>
        <w:tabs>
          <w:tab w:val="num" w:pos="2880"/>
        </w:tabs>
        <w:ind w:left="2880" w:hanging="360"/>
      </w:pPr>
      <w:rPr>
        <w:rFonts w:ascii="Arial" w:hAnsi="Arial" w:hint="default"/>
      </w:rPr>
    </w:lvl>
    <w:lvl w:ilvl="4" w:tplc="87344526" w:tentative="1">
      <w:start w:val="1"/>
      <w:numFmt w:val="bullet"/>
      <w:lvlText w:val="-"/>
      <w:lvlJc w:val="left"/>
      <w:pPr>
        <w:tabs>
          <w:tab w:val="num" w:pos="3600"/>
        </w:tabs>
        <w:ind w:left="3600" w:hanging="360"/>
      </w:pPr>
      <w:rPr>
        <w:rFonts w:ascii="Arial" w:hAnsi="Arial" w:hint="default"/>
      </w:rPr>
    </w:lvl>
    <w:lvl w:ilvl="5" w:tplc="48FEB5AE" w:tentative="1">
      <w:start w:val="1"/>
      <w:numFmt w:val="bullet"/>
      <w:lvlText w:val="-"/>
      <w:lvlJc w:val="left"/>
      <w:pPr>
        <w:tabs>
          <w:tab w:val="num" w:pos="4320"/>
        </w:tabs>
        <w:ind w:left="4320" w:hanging="360"/>
      </w:pPr>
      <w:rPr>
        <w:rFonts w:ascii="Arial" w:hAnsi="Arial" w:hint="default"/>
      </w:rPr>
    </w:lvl>
    <w:lvl w:ilvl="6" w:tplc="53A2F4D2" w:tentative="1">
      <w:start w:val="1"/>
      <w:numFmt w:val="bullet"/>
      <w:lvlText w:val="-"/>
      <w:lvlJc w:val="left"/>
      <w:pPr>
        <w:tabs>
          <w:tab w:val="num" w:pos="5040"/>
        </w:tabs>
        <w:ind w:left="5040" w:hanging="360"/>
      </w:pPr>
      <w:rPr>
        <w:rFonts w:ascii="Arial" w:hAnsi="Arial" w:hint="default"/>
      </w:rPr>
    </w:lvl>
    <w:lvl w:ilvl="7" w:tplc="AEA686B4" w:tentative="1">
      <w:start w:val="1"/>
      <w:numFmt w:val="bullet"/>
      <w:lvlText w:val="-"/>
      <w:lvlJc w:val="left"/>
      <w:pPr>
        <w:tabs>
          <w:tab w:val="num" w:pos="5760"/>
        </w:tabs>
        <w:ind w:left="5760" w:hanging="360"/>
      </w:pPr>
      <w:rPr>
        <w:rFonts w:ascii="Arial" w:hAnsi="Arial" w:hint="default"/>
      </w:rPr>
    </w:lvl>
    <w:lvl w:ilvl="8" w:tplc="0F3A89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FF3628E"/>
    <w:multiLevelType w:val="hybridMultilevel"/>
    <w:tmpl w:val="771602E6"/>
    <w:lvl w:ilvl="0" w:tplc="30548F9A">
      <w:start w:val="202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39763A7"/>
    <w:multiLevelType w:val="hybridMultilevel"/>
    <w:tmpl w:val="F904BEEC"/>
    <w:lvl w:ilvl="0" w:tplc="E0A2536E">
      <w:start w:val="202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137D7D"/>
    <w:multiLevelType w:val="hybridMultilevel"/>
    <w:tmpl w:val="F856C146"/>
    <w:lvl w:ilvl="0" w:tplc="F37A31CE">
      <w:start w:val="1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6FA73130"/>
    <w:multiLevelType w:val="hybridMultilevel"/>
    <w:tmpl w:val="65281904"/>
    <w:lvl w:ilvl="0" w:tplc="DF56ABD4">
      <w:start w:val="1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B26451B"/>
    <w:multiLevelType w:val="hybridMultilevel"/>
    <w:tmpl w:val="C1DEF65C"/>
    <w:lvl w:ilvl="0" w:tplc="0E7285A0">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7"/>
  </w:num>
  <w:num w:numId="5">
    <w:abstractNumId w:val="3"/>
  </w:num>
  <w:num w:numId="6">
    <w:abstractNumId w:val="4"/>
  </w:num>
  <w:num w:numId="7">
    <w:abstractNumId w:val="6"/>
  </w:num>
  <w:num w:numId="8">
    <w:abstractNumId w:val="12"/>
  </w:num>
  <w:num w:numId="9">
    <w:abstractNumId w:val="0"/>
  </w:num>
  <w:num w:numId="10">
    <w:abstractNumId w:val="9"/>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43"/>
    <w:rsid w:val="00001E30"/>
    <w:rsid w:val="00004B58"/>
    <w:rsid w:val="00006087"/>
    <w:rsid w:val="00014977"/>
    <w:rsid w:val="0001513F"/>
    <w:rsid w:val="00017461"/>
    <w:rsid w:val="00023000"/>
    <w:rsid w:val="00026596"/>
    <w:rsid w:val="00026B9B"/>
    <w:rsid w:val="000331FF"/>
    <w:rsid w:val="000349D8"/>
    <w:rsid w:val="00036DD3"/>
    <w:rsid w:val="000419CA"/>
    <w:rsid w:val="00044002"/>
    <w:rsid w:val="00055376"/>
    <w:rsid w:val="00062A8A"/>
    <w:rsid w:val="00066333"/>
    <w:rsid w:val="0007096D"/>
    <w:rsid w:val="000766D5"/>
    <w:rsid w:val="00082E1D"/>
    <w:rsid w:val="00087849"/>
    <w:rsid w:val="00092ACE"/>
    <w:rsid w:val="00097B97"/>
    <w:rsid w:val="000A086B"/>
    <w:rsid w:val="000A1EA1"/>
    <w:rsid w:val="000A337A"/>
    <w:rsid w:val="000B1B0C"/>
    <w:rsid w:val="000B4814"/>
    <w:rsid w:val="000B6BEC"/>
    <w:rsid w:val="000C1155"/>
    <w:rsid w:val="000C552C"/>
    <w:rsid w:val="000D1977"/>
    <w:rsid w:val="000D5D2B"/>
    <w:rsid w:val="000E1DF8"/>
    <w:rsid w:val="000E3A69"/>
    <w:rsid w:val="000E5E2A"/>
    <w:rsid w:val="000F34A7"/>
    <w:rsid w:val="000F790F"/>
    <w:rsid w:val="00100B73"/>
    <w:rsid w:val="00105C84"/>
    <w:rsid w:val="0011443F"/>
    <w:rsid w:val="00115379"/>
    <w:rsid w:val="00115462"/>
    <w:rsid w:val="00125474"/>
    <w:rsid w:val="001262D3"/>
    <w:rsid w:val="00142FD3"/>
    <w:rsid w:val="00147E43"/>
    <w:rsid w:val="00153D1F"/>
    <w:rsid w:val="00154824"/>
    <w:rsid w:val="00156EF2"/>
    <w:rsid w:val="00166404"/>
    <w:rsid w:val="00186E9F"/>
    <w:rsid w:val="00190861"/>
    <w:rsid w:val="001914C2"/>
    <w:rsid w:val="00195C6D"/>
    <w:rsid w:val="001960B2"/>
    <w:rsid w:val="0019764B"/>
    <w:rsid w:val="001B44EF"/>
    <w:rsid w:val="001B4FA1"/>
    <w:rsid w:val="001B69C3"/>
    <w:rsid w:val="001C0DF4"/>
    <w:rsid w:val="001C297A"/>
    <w:rsid w:val="001C576C"/>
    <w:rsid w:val="001C7F27"/>
    <w:rsid w:val="001D5BB9"/>
    <w:rsid w:val="001E4A94"/>
    <w:rsid w:val="001E6405"/>
    <w:rsid w:val="002207A6"/>
    <w:rsid w:val="00221E42"/>
    <w:rsid w:val="00224284"/>
    <w:rsid w:val="00224F0E"/>
    <w:rsid w:val="002401B0"/>
    <w:rsid w:val="00242192"/>
    <w:rsid w:val="00245099"/>
    <w:rsid w:val="0024553D"/>
    <w:rsid w:val="002511A0"/>
    <w:rsid w:val="00251963"/>
    <w:rsid w:val="002624E9"/>
    <w:rsid w:val="00263F96"/>
    <w:rsid w:val="00267ACA"/>
    <w:rsid w:val="0027402B"/>
    <w:rsid w:val="002878FD"/>
    <w:rsid w:val="002B273C"/>
    <w:rsid w:val="002B3725"/>
    <w:rsid w:val="002C4547"/>
    <w:rsid w:val="002C4F14"/>
    <w:rsid w:val="002D12BD"/>
    <w:rsid w:val="002D1376"/>
    <w:rsid w:val="002D6B03"/>
    <w:rsid w:val="002E1078"/>
    <w:rsid w:val="002E732D"/>
    <w:rsid w:val="002F477C"/>
    <w:rsid w:val="002F6016"/>
    <w:rsid w:val="00300F2A"/>
    <w:rsid w:val="00302451"/>
    <w:rsid w:val="00302716"/>
    <w:rsid w:val="003123D0"/>
    <w:rsid w:val="00316A23"/>
    <w:rsid w:val="00320075"/>
    <w:rsid w:val="00320A31"/>
    <w:rsid w:val="00327407"/>
    <w:rsid w:val="00327E59"/>
    <w:rsid w:val="003305B2"/>
    <w:rsid w:val="003366D7"/>
    <w:rsid w:val="00337931"/>
    <w:rsid w:val="003401BC"/>
    <w:rsid w:val="00343CB8"/>
    <w:rsid w:val="00346FF6"/>
    <w:rsid w:val="00355435"/>
    <w:rsid w:val="0035571B"/>
    <w:rsid w:val="00356262"/>
    <w:rsid w:val="00360F61"/>
    <w:rsid w:val="0036442C"/>
    <w:rsid w:val="003654CD"/>
    <w:rsid w:val="003668D4"/>
    <w:rsid w:val="00367D3B"/>
    <w:rsid w:val="00367F9E"/>
    <w:rsid w:val="0037051A"/>
    <w:rsid w:val="00370F35"/>
    <w:rsid w:val="003713E7"/>
    <w:rsid w:val="003727EB"/>
    <w:rsid w:val="00373D9D"/>
    <w:rsid w:val="00380C99"/>
    <w:rsid w:val="00383E25"/>
    <w:rsid w:val="00391FA6"/>
    <w:rsid w:val="003947A8"/>
    <w:rsid w:val="003952ED"/>
    <w:rsid w:val="003A30BE"/>
    <w:rsid w:val="003A5DED"/>
    <w:rsid w:val="003C3D7F"/>
    <w:rsid w:val="003C7394"/>
    <w:rsid w:val="003D104A"/>
    <w:rsid w:val="003D14D7"/>
    <w:rsid w:val="003D5446"/>
    <w:rsid w:val="003E0E58"/>
    <w:rsid w:val="003E31EA"/>
    <w:rsid w:val="003E3DCB"/>
    <w:rsid w:val="003F1CB9"/>
    <w:rsid w:val="003F2B91"/>
    <w:rsid w:val="003F7F31"/>
    <w:rsid w:val="0040072F"/>
    <w:rsid w:val="00401262"/>
    <w:rsid w:val="00401322"/>
    <w:rsid w:val="00402738"/>
    <w:rsid w:val="00405C26"/>
    <w:rsid w:val="00416028"/>
    <w:rsid w:val="00416A62"/>
    <w:rsid w:val="00420888"/>
    <w:rsid w:val="0042113A"/>
    <w:rsid w:val="00422611"/>
    <w:rsid w:val="00437589"/>
    <w:rsid w:val="004475DD"/>
    <w:rsid w:val="00453E1C"/>
    <w:rsid w:val="004551CA"/>
    <w:rsid w:val="00463781"/>
    <w:rsid w:val="00476BD0"/>
    <w:rsid w:val="0049113D"/>
    <w:rsid w:val="0049132F"/>
    <w:rsid w:val="0049605B"/>
    <w:rsid w:val="004A1724"/>
    <w:rsid w:val="004A7ABD"/>
    <w:rsid w:val="004A7D28"/>
    <w:rsid w:val="004C1B31"/>
    <w:rsid w:val="004C389E"/>
    <w:rsid w:val="004D5EDF"/>
    <w:rsid w:val="004D63E3"/>
    <w:rsid w:val="004D7651"/>
    <w:rsid w:val="004E1AC6"/>
    <w:rsid w:val="004E3A25"/>
    <w:rsid w:val="004E6615"/>
    <w:rsid w:val="004F1275"/>
    <w:rsid w:val="004F4A74"/>
    <w:rsid w:val="005044E1"/>
    <w:rsid w:val="00505850"/>
    <w:rsid w:val="00505C9C"/>
    <w:rsid w:val="00506DF1"/>
    <w:rsid w:val="00517111"/>
    <w:rsid w:val="00520AEA"/>
    <w:rsid w:val="00520C82"/>
    <w:rsid w:val="00521B07"/>
    <w:rsid w:val="00527304"/>
    <w:rsid w:val="00527C61"/>
    <w:rsid w:val="005354AE"/>
    <w:rsid w:val="00536B9B"/>
    <w:rsid w:val="00537515"/>
    <w:rsid w:val="00537656"/>
    <w:rsid w:val="00545533"/>
    <w:rsid w:val="00553FBC"/>
    <w:rsid w:val="00555B91"/>
    <w:rsid w:val="00562D02"/>
    <w:rsid w:val="0056315C"/>
    <w:rsid w:val="005642DD"/>
    <w:rsid w:val="00571647"/>
    <w:rsid w:val="00576028"/>
    <w:rsid w:val="00577677"/>
    <w:rsid w:val="005954B4"/>
    <w:rsid w:val="00595CAD"/>
    <w:rsid w:val="005A2501"/>
    <w:rsid w:val="005A2AF1"/>
    <w:rsid w:val="005A44FF"/>
    <w:rsid w:val="005A7A4D"/>
    <w:rsid w:val="005C1943"/>
    <w:rsid w:val="005C3C3C"/>
    <w:rsid w:val="005C60BB"/>
    <w:rsid w:val="005C6A0D"/>
    <w:rsid w:val="005C6D52"/>
    <w:rsid w:val="005C6DB6"/>
    <w:rsid w:val="005C7415"/>
    <w:rsid w:val="005D053D"/>
    <w:rsid w:val="005D0910"/>
    <w:rsid w:val="005D42A6"/>
    <w:rsid w:val="005E58E1"/>
    <w:rsid w:val="005E5B24"/>
    <w:rsid w:val="005E5B52"/>
    <w:rsid w:val="005F0A8A"/>
    <w:rsid w:val="005F4524"/>
    <w:rsid w:val="00603141"/>
    <w:rsid w:val="00604274"/>
    <w:rsid w:val="0060552B"/>
    <w:rsid w:val="00611C5C"/>
    <w:rsid w:val="00612725"/>
    <w:rsid w:val="006146A8"/>
    <w:rsid w:val="00614E76"/>
    <w:rsid w:val="00626065"/>
    <w:rsid w:val="00626382"/>
    <w:rsid w:val="00634862"/>
    <w:rsid w:val="00635F63"/>
    <w:rsid w:val="00640878"/>
    <w:rsid w:val="0064499D"/>
    <w:rsid w:val="006454CC"/>
    <w:rsid w:val="0064668C"/>
    <w:rsid w:val="006478ED"/>
    <w:rsid w:val="00653FBB"/>
    <w:rsid w:val="0065675B"/>
    <w:rsid w:val="00660A8C"/>
    <w:rsid w:val="00663D34"/>
    <w:rsid w:val="006642E5"/>
    <w:rsid w:val="0066436B"/>
    <w:rsid w:val="006648C4"/>
    <w:rsid w:val="006669D1"/>
    <w:rsid w:val="00667BA1"/>
    <w:rsid w:val="0067027E"/>
    <w:rsid w:val="00670BEE"/>
    <w:rsid w:val="0067201E"/>
    <w:rsid w:val="006756FC"/>
    <w:rsid w:val="00675D0C"/>
    <w:rsid w:val="0068337D"/>
    <w:rsid w:val="00683E88"/>
    <w:rsid w:val="006952F0"/>
    <w:rsid w:val="006963D2"/>
    <w:rsid w:val="006A54C3"/>
    <w:rsid w:val="006A5DB5"/>
    <w:rsid w:val="006B03F0"/>
    <w:rsid w:val="006B19D1"/>
    <w:rsid w:val="006B2ADD"/>
    <w:rsid w:val="006B2F86"/>
    <w:rsid w:val="006B60A6"/>
    <w:rsid w:val="006B7DE5"/>
    <w:rsid w:val="006C035F"/>
    <w:rsid w:val="006C3AF8"/>
    <w:rsid w:val="006C4385"/>
    <w:rsid w:val="006C6CFF"/>
    <w:rsid w:val="006C6D8D"/>
    <w:rsid w:val="006C6DCB"/>
    <w:rsid w:val="006D23EF"/>
    <w:rsid w:val="006D3D9F"/>
    <w:rsid w:val="006D7467"/>
    <w:rsid w:val="006D74B0"/>
    <w:rsid w:val="006E0634"/>
    <w:rsid w:val="006E0DB3"/>
    <w:rsid w:val="006E18EC"/>
    <w:rsid w:val="006E1DBB"/>
    <w:rsid w:val="006E335A"/>
    <w:rsid w:val="006F0636"/>
    <w:rsid w:val="007000AB"/>
    <w:rsid w:val="00700BFA"/>
    <w:rsid w:val="007075B3"/>
    <w:rsid w:val="00710350"/>
    <w:rsid w:val="007204F9"/>
    <w:rsid w:val="00725295"/>
    <w:rsid w:val="00730B38"/>
    <w:rsid w:val="00734471"/>
    <w:rsid w:val="00742303"/>
    <w:rsid w:val="00742971"/>
    <w:rsid w:val="00744504"/>
    <w:rsid w:val="00746582"/>
    <w:rsid w:val="00747C2E"/>
    <w:rsid w:val="00754744"/>
    <w:rsid w:val="00755B46"/>
    <w:rsid w:val="00757E86"/>
    <w:rsid w:val="00761A85"/>
    <w:rsid w:val="00761C3F"/>
    <w:rsid w:val="0076384E"/>
    <w:rsid w:val="007642B3"/>
    <w:rsid w:val="007673D0"/>
    <w:rsid w:val="007725F7"/>
    <w:rsid w:val="00772E8C"/>
    <w:rsid w:val="007A7909"/>
    <w:rsid w:val="007B02A8"/>
    <w:rsid w:val="007C2872"/>
    <w:rsid w:val="007C2F0D"/>
    <w:rsid w:val="007C4C83"/>
    <w:rsid w:val="007C5704"/>
    <w:rsid w:val="007C64E9"/>
    <w:rsid w:val="007D02A1"/>
    <w:rsid w:val="007D4025"/>
    <w:rsid w:val="007D52B7"/>
    <w:rsid w:val="007D666C"/>
    <w:rsid w:val="007D699B"/>
    <w:rsid w:val="007D6C66"/>
    <w:rsid w:val="007E0BF1"/>
    <w:rsid w:val="007E33A6"/>
    <w:rsid w:val="007E4E82"/>
    <w:rsid w:val="007F16CA"/>
    <w:rsid w:val="007F1F07"/>
    <w:rsid w:val="007F40D6"/>
    <w:rsid w:val="007F61C7"/>
    <w:rsid w:val="007F6300"/>
    <w:rsid w:val="00801132"/>
    <w:rsid w:val="008030F5"/>
    <w:rsid w:val="00803E55"/>
    <w:rsid w:val="0080505A"/>
    <w:rsid w:val="00807F85"/>
    <w:rsid w:val="00811FE2"/>
    <w:rsid w:val="008315F2"/>
    <w:rsid w:val="00833844"/>
    <w:rsid w:val="00835E99"/>
    <w:rsid w:val="008404DA"/>
    <w:rsid w:val="00847E22"/>
    <w:rsid w:val="00854190"/>
    <w:rsid w:val="00856019"/>
    <w:rsid w:val="00864495"/>
    <w:rsid w:val="00864AC0"/>
    <w:rsid w:val="008667B0"/>
    <w:rsid w:val="00870102"/>
    <w:rsid w:val="008722D9"/>
    <w:rsid w:val="00872847"/>
    <w:rsid w:val="00882583"/>
    <w:rsid w:val="008825F4"/>
    <w:rsid w:val="0088279B"/>
    <w:rsid w:val="008857AA"/>
    <w:rsid w:val="008910AF"/>
    <w:rsid w:val="00893FAA"/>
    <w:rsid w:val="00895EF3"/>
    <w:rsid w:val="00897332"/>
    <w:rsid w:val="008B1328"/>
    <w:rsid w:val="008B3232"/>
    <w:rsid w:val="008B6D55"/>
    <w:rsid w:val="008C3B72"/>
    <w:rsid w:val="008C3E6D"/>
    <w:rsid w:val="008C5FB5"/>
    <w:rsid w:val="008D0F71"/>
    <w:rsid w:val="008D1230"/>
    <w:rsid w:val="008D5313"/>
    <w:rsid w:val="008D576F"/>
    <w:rsid w:val="008E265E"/>
    <w:rsid w:val="008F11D5"/>
    <w:rsid w:val="009065D8"/>
    <w:rsid w:val="00907818"/>
    <w:rsid w:val="00910CBA"/>
    <w:rsid w:val="009139AF"/>
    <w:rsid w:val="00915CEC"/>
    <w:rsid w:val="009224FC"/>
    <w:rsid w:val="009263C2"/>
    <w:rsid w:val="009430BD"/>
    <w:rsid w:val="00943C78"/>
    <w:rsid w:val="00944D10"/>
    <w:rsid w:val="00947AC8"/>
    <w:rsid w:val="00950AD8"/>
    <w:rsid w:val="0095568B"/>
    <w:rsid w:val="00957974"/>
    <w:rsid w:val="00977317"/>
    <w:rsid w:val="009A1DCA"/>
    <w:rsid w:val="009A4D08"/>
    <w:rsid w:val="009A5048"/>
    <w:rsid w:val="009A6092"/>
    <w:rsid w:val="009B7D7F"/>
    <w:rsid w:val="009C181E"/>
    <w:rsid w:val="009C63C2"/>
    <w:rsid w:val="009D150F"/>
    <w:rsid w:val="009D5E6C"/>
    <w:rsid w:val="009D73C5"/>
    <w:rsid w:val="009F1744"/>
    <w:rsid w:val="009F569C"/>
    <w:rsid w:val="00A00BF5"/>
    <w:rsid w:val="00A020B8"/>
    <w:rsid w:val="00A02527"/>
    <w:rsid w:val="00A07E80"/>
    <w:rsid w:val="00A10A9C"/>
    <w:rsid w:val="00A144A3"/>
    <w:rsid w:val="00A2430B"/>
    <w:rsid w:val="00A257D9"/>
    <w:rsid w:val="00A2750F"/>
    <w:rsid w:val="00A41BA7"/>
    <w:rsid w:val="00A42EAA"/>
    <w:rsid w:val="00A43387"/>
    <w:rsid w:val="00A4779D"/>
    <w:rsid w:val="00A51840"/>
    <w:rsid w:val="00A6286E"/>
    <w:rsid w:val="00A64535"/>
    <w:rsid w:val="00A7019E"/>
    <w:rsid w:val="00A7149F"/>
    <w:rsid w:val="00A71A8B"/>
    <w:rsid w:val="00A71F9A"/>
    <w:rsid w:val="00A73218"/>
    <w:rsid w:val="00A732A1"/>
    <w:rsid w:val="00A84275"/>
    <w:rsid w:val="00A8750A"/>
    <w:rsid w:val="00A90878"/>
    <w:rsid w:val="00A91FC2"/>
    <w:rsid w:val="00AA1435"/>
    <w:rsid w:val="00AA24D9"/>
    <w:rsid w:val="00AA2604"/>
    <w:rsid w:val="00AA2D4E"/>
    <w:rsid w:val="00AA6453"/>
    <w:rsid w:val="00AA66C1"/>
    <w:rsid w:val="00AB24BA"/>
    <w:rsid w:val="00AC1037"/>
    <w:rsid w:val="00AC57E5"/>
    <w:rsid w:val="00AE125F"/>
    <w:rsid w:val="00AE3164"/>
    <w:rsid w:val="00AE69C7"/>
    <w:rsid w:val="00AF11ED"/>
    <w:rsid w:val="00AF218D"/>
    <w:rsid w:val="00AF4DF3"/>
    <w:rsid w:val="00B03E8F"/>
    <w:rsid w:val="00B04775"/>
    <w:rsid w:val="00B067AB"/>
    <w:rsid w:val="00B06E15"/>
    <w:rsid w:val="00B10C17"/>
    <w:rsid w:val="00B16F18"/>
    <w:rsid w:val="00B25E96"/>
    <w:rsid w:val="00B2720B"/>
    <w:rsid w:val="00B27646"/>
    <w:rsid w:val="00B3003D"/>
    <w:rsid w:val="00B32114"/>
    <w:rsid w:val="00B3228D"/>
    <w:rsid w:val="00B36071"/>
    <w:rsid w:val="00B4285D"/>
    <w:rsid w:val="00B445A6"/>
    <w:rsid w:val="00B447B3"/>
    <w:rsid w:val="00B4716E"/>
    <w:rsid w:val="00B506AC"/>
    <w:rsid w:val="00B639BE"/>
    <w:rsid w:val="00B64423"/>
    <w:rsid w:val="00B64486"/>
    <w:rsid w:val="00B76371"/>
    <w:rsid w:val="00B83E9D"/>
    <w:rsid w:val="00B85767"/>
    <w:rsid w:val="00B87B58"/>
    <w:rsid w:val="00B95673"/>
    <w:rsid w:val="00B97579"/>
    <w:rsid w:val="00B97D6A"/>
    <w:rsid w:val="00BC0374"/>
    <w:rsid w:val="00BC15D2"/>
    <w:rsid w:val="00BC61FC"/>
    <w:rsid w:val="00BD51B7"/>
    <w:rsid w:val="00BD64FB"/>
    <w:rsid w:val="00BD7B5A"/>
    <w:rsid w:val="00BF0D5A"/>
    <w:rsid w:val="00BF1E98"/>
    <w:rsid w:val="00BF48A4"/>
    <w:rsid w:val="00BF58BD"/>
    <w:rsid w:val="00BF73F4"/>
    <w:rsid w:val="00C019C0"/>
    <w:rsid w:val="00C01CB1"/>
    <w:rsid w:val="00C0609E"/>
    <w:rsid w:val="00C10771"/>
    <w:rsid w:val="00C1402D"/>
    <w:rsid w:val="00C15C17"/>
    <w:rsid w:val="00C17244"/>
    <w:rsid w:val="00C23A88"/>
    <w:rsid w:val="00C253FE"/>
    <w:rsid w:val="00C2568B"/>
    <w:rsid w:val="00C31BC2"/>
    <w:rsid w:val="00C33B31"/>
    <w:rsid w:val="00C50104"/>
    <w:rsid w:val="00C552C2"/>
    <w:rsid w:val="00C617BE"/>
    <w:rsid w:val="00C66678"/>
    <w:rsid w:val="00C66EF2"/>
    <w:rsid w:val="00C7383D"/>
    <w:rsid w:val="00C74048"/>
    <w:rsid w:val="00C93158"/>
    <w:rsid w:val="00C94C33"/>
    <w:rsid w:val="00C94DCE"/>
    <w:rsid w:val="00C94E04"/>
    <w:rsid w:val="00C975C9"/>
    <w:rsid w:val="00C97815"/>
    <w:rsid w:val="00CA0CF8"/>
    <w:rsid w:val="00CA3851"/>
    <w:rsid w:val="00CA6B72"/>
    <w:rsid w:val="00CA7866"/>
    <w:rsid w:val="00CB3A76"/>
    <w:rsid w:val="00CB6D21"/>
    <w:rsid w:val="00CB6EC2"/>
    <w:rsid w:val="00CB79A1"/>
    <w:rsid w:val="00CC7510"/>
    <w:rsid w:val="00CD149B"/>
    <w:rsid w:val="00CD214E"/>
    <w:rsid w:val="00CD5288"/>
    <w:rsid w:val="00CD7450"/>
    <w:rsid w:val="00CE0212"/>
    <w:rsid w:val="00CE1014"/>
    <w:rsid w:val="00CE6DF9"/>
    <w:rsid w:val="00CF04CA"/>
    <w:rsid w:val="00CF6D15"/>
    <w:rsid w:val="00D03EA1"/>
    <w:rsid w:val="00D04BC7"/>
    <w:rsid w:val="00D10717"/>
    <w:rsid w:val="00D13645"/>
    <w:rsid w:val="00D157A4"/>
    <w:rsid w:val="00D17D09"/>
    <w:rsid w:val="00D20916"/>
    <w:rsid w:val="00D2261D"/>
    <w:rsid w:val="00D236FC"/>
    <w:rsid w:val="00D242FD"/>
    <w:rsid w:val="00D36FE1"/>
    <w:rsid w:val="00D45BA3"/>
    <w:rsid w:val="00D47140"/>
    <w:rsid w:val="00D520B2"/>
    <w:rsid w:val="00D57204"/>
    <w:rsid w:val="00D61603"/>
    <w:rsid w:val="00D7105D"/>
    <w:rsid w:val="00D73A84"/>
    <w:rsid w:val="00D73B30"/>
    <w:rsid w:val="00D7566D"/>
    <w:rsid w:val="00D7765B"/>
    <w:rsid w:val="00D77C73"/>
    <w:rsid w:val="00D87B97"/>
    <w:rsid w:val="00D91982"/>
    <w:rsid w:val="00D9338E"/>
    <w:rsid w:val="00D97A26"/>
    <w:rsid w:val="00D97E49"/>
    <w:rsid w:val="00DA4328"/>
    <w:rsid w:val="00DB4EAB"/>
    <w:rsid w:val="00DC328A"/>
    <w:rsid w:val="00DC4924"/>
    <w:rsid w:val="00DD5178"/>
    <w:rsid w:val="00DE3055"/>
    <w:rsid w:val="00DE70AE"/>
    <w:rsid w:val="00DF7A07"/>
    <w:rsid w:val="00E00755"/>
    <w:rsid w:val="00E00EC4"/>
    <w:rsid w:val="00E0427D"/>
    <w:rsid w:val="00E04FC0"/>
    <w:rsid w:val="00E07861"/>
    <w:rsid w:val="00E10053"/>
    <w:rsid w:val="00E10472"/>
    <w:rsid w:val="00E11110"/>
    <w:rsid w:val="00E22F3F"/>
    <w:rsid w:val="00E23E0B"/>
    <w:rsid w:val="00E23F00"/>
    <w:rsid w:val="00E3317B"/>
    <w:rsid w:val="00E3386F"/>
    <w:rsid w:val="00E3424D"/>
    <w:rsid w:val="00E52EE1"/>
    <w:rsid w:val="00E732C9"/>
    <w:rsid w:val="00E74C2F"/>
    <w:rsid w:val="00E77101"/>
    <w:rsid w:val="00E77EE7"/>
    <w:rsid w:val="00E8716B"/>
    <w:rsid w:val="00E8787F"/>
    <w:rsid w:val="00E92D8C"/>
    <w:rsid w:val="00EA05BA"/>
    <w:rsid w:val="00EA3EEC"/>
    <w:rsid w:val="00EA5E6A"/>
    <w:rsid w:val="00EA6FE9"/>
    <w:rsid w:val="00EB2C64"/>
    <w:rsid w:val="00EB2F2C"/>
    <w:rsid w:val="00EB36AD"/>
    <w:rsid w:val="00EB43F5"/>
    <w:rsid w:val="00EB62D7"/>
    <w:rsid w:val="00EC126D"/>
    <w:rsid w:val="00ED2F8C"/>
    <w:rsid w:val="00ED452D"/>
    <w:rsid w:val="00EE7D8D"/>
    <w:rsid w:val="00EF0D43"/>
    <w:rsid w:val="00EF1FB7"/>
    <w:rsid w:val="00F01005"/>
    <w:rsid w:val="00F14133"/>
    <w:rsid w:val="00F20F0C"/>
    <w:rsid w:val="00F32F3A"/>
    <w:rsid w:val="00F35ABF"/>
    <w:rsid w:val="00F40053"/>
    <w:rsid w:val="00F43D1E"/>
    <w:rsid w:val="00F464BF"/>
    <w:rsid w:val="00F46BA9"/>
    <w:rsid w:val="00F52243"/>
    <w:rsid w:val="00F52FD1"/>
    <w:rsid w:val="00F54329"/>
    <w:rsid w:val="00F545AC"/>
    <w:rsid w:val="00F55301"/>
    <w:rsid w:val="00F56999"/>
    <w:rsid w:val="00F573F1"/>
    <w:rsid w:val="00F615BD"/>
    <w:rsid w:val="00F6767A"/>
    <w:rsid w:val="00F67E6A"/>
    <w:rsid w:val="00F860E1"/>
    <w:rsid w:val="00F860F7"/>
    <w:rsid w:val="00F869D5"/>
    <w:rsid w:val="00F93181"/>
    <w:rsid w:val="00F97C75"/>
    <w:rsid w:val="00FA2D2A"/>
    <w:rsid w:val="00FA3413"/>
    <w:rsid w:val="00FA7186"/>
    <w:rsid w:val="00FB115F"/>
    <w:rsid w:val="00FB4A1C"/>
    <w:rsid w:val="00FB504D"/>
    <w:rsid w:val="00FB5CD9"/>
    <w:rsid w:val="00FB6924"/>
    <w:rsid w:val="00FD12DB"/>
    <w:rsid w:val="00FD3C84"/>
    <w:rsid w:val="00FD57E2"/>
    <w:rsid w:val="00FE493E"/>
    <w:rsid w:val="00FE5DF6"/>
    <w:rsid w:val="00FF7A81"/>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3594D"/>
  <w15:docId w15:val="{AE278A13-9C2A-4D53-8A14-E27E9B8F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2501"/>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73F1"/>
    <w:pPr>
      <w:tabs>
        <w:tab w:val="center" w:pos="4536"/>
        <w:tab w:val="right" w:pos="9072"/>
      </w:tabs>
    </w:pPr>
  </w:style>
  <w:style w:type="character" w:customStyle="1" w:styleId="ZhlavChar">
    <w:name w:val="Záhlaví Char"/>
    <w:basedOn w:val="Standardnpsmoodstavce"/>
    <w:link w:val="Zhlav"/>
    <w:uiPriority w:val="99"/>
    <w:rsid w:val="00F573F1"/>
  </w:style>
  <w:style w:type="paragraph" w:styleId="Zpat">
    <w:name w:val="footer"/>
    <w:basedOn w:val="Normln"/>
    <w:link w:val="ZpatChar"/>
    <w:uiPriority w:val="99"/>
    <w:unhideWhenUsed/>
    <w:rsid w:val="00F573F1"/>
    <w:pPr>
      <w:tabs>
        <w:tab w:val="center" w:pos="4536"/>
        <w:tab w:val="right" w:pos="9072"/>
      </w:tabs>
    </w:pPr>
  </w:style>
  <w:style w:type="character" w:customStyle="1" w:styleId="ZpatChar">
    <w:name w:val="Zápatí Char"/>
    <w:basedOn w:val="Standardnpsmoodstavce"/>
    <w:link w:val="Zpat"/>
    <w:uiPriority w:val="99"/>
    <w:rsid w:val="00F573F1"/>
  </w:style>
  <w:style w:type="paragraph" w:customStyle="1" w:styleId="Standard">
    <w:name w:val="Standard"/>
    <w:rsid w:val="00F573F1"/>
    <w:pPr>
      <w:suppressAutoHyphens/>
      <w:autoSpaceDN w:val="0"/>
      <w:spacing w:after="0" w:line="240" w:lineRule="auto"/>
      <w:jc w:val="both"/>
      <w:textAlignment w:val="baseline"/>
    </w:pPr>
    <w:rPr>
      <w:rFonts w:ascii="Arial" w:eastAsia="Times New Roman" w:hAnsi="Arial" w:cs="Arial Unicode MS"/>
      <w:kern w:val="3"/>
      <w:sz w:val="18"/>
      <w:szCs w:val="20"/>
      <w:lang w:eastAsia="zh-CN" w:bidi="hi-IN"/>
    </w:rPr>
  </w:style>
  <w:style w:type="character" w:styleId="Hypertextovodkaz">
    <w:name w:val="Hyperlink"/>
    <w:basedOn w:val="Standardnpsmoodstavce"/>
    <w:uiPriority w:val="99"/>
    <w:rsid w:val="005A2501"/>
    <w:rPr>
      <w:rFonts w:cs="Times New Roman"/>
      <w:color w:val="0000FF"/>
      <w:u w:val="single"/>
    </w:rPr>
  </w:style>
  <w:style w:type="paragraph" w:styleId="Normlnweb">
    <w:name w:val="Normal (Web)"/>
    <w:basedOn w:val="Normln"/>
    <w:uiPriority w:val="99"/>
    <w:rsid w:val="005A2501"/>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paragraph" w:styleId="Odstavecseseznamem">
    <w:name w:val="List Paragraph"/>
    <w:basedOn w:val="Normln"/>
    <w:uiPriority w:val="34"/>
    <w:qFormat/>
    <w:rsid w:val="00517111"/>
    <w:pPr>
      <w:ind w:left="720"/>
      <w:contextualSpacing/>
    </w:pPr>
  </w:style>
  <w:style w:type="paragraph" w:styleId="Textbubliny">
    <w:name w:val="Balloon Text"/>
    <w:basedOn w:val="Normln"/>
    <w:link w:val="TextbublinyChar"/>
    <w:uiPriority w:val="99"/>
    <w:semiHidden/>
    <w:unhideWhenUsed/>
    <w:rsid w:val="009139AF"/>
    <w:rPr>
      <w:rFonts w:cs="Arial"/>
      <w:szCs w:val="18"/>
    </w:rPr>
  </w:style>
  <w:style w:type="character" w:customStyle="1" w:styleId="TextbublinyChar">
    <w:name w:val="Text bubliny Char"/>
    <w:basedOn w:val="Standardnpsmoodstavce"/>
    <w:link w:val="Textbubliny"/>
    <w:uiPriority w:val="99"/>
    <w:semiHidden/>
    <w:rsid w:val="009139AF"/>
    <w:rPr>
      <w:rFonts w:ascii="Arial" w:eastAsia="Times New Roman" w:hAnsi="Arial" w:cs="Arial"/>
      <w:sz w:val="18"/>
      <w:szCs w:val="18"/>
      <w:lang w:eastAsia="cs-CZ"/>
    </w:rPr>
  </w:style>
  <w:style w:type="character" w:styleId="Odkaznakoment">
    <w:name w:val="annotation reference"/>
    <w:basedOn w:val="Standardnpsmoodstavce"/>
    <w:uiPriority w:val="99"/>
    <w:semiHidden/>
    <w:unhideWhenUsed/>
    <w:rsid w:val="00744504"/>
    <w:rPr>
      <w:sz w:val="16"/>
      <w:szCs w:val="16"/>
    </w:rPr>
  </w:style>
  <w:style w:type="paragraph" w:styleId="Textkomente">
    <w:name w:val="annotation text"/>
    <w:basedOn w:val="Normln"/>
    <w:link w:val="TextkomenteChar"/>
    <w:uiPriority w:val="99"/>
    <w:unhideWhenUsed/>
    <w:rsid w:val="00744504"/>
    <w:rPr>
      <w:sz w:val="20"/>
    </w:rPr>
  </w:style>
  <w:style w:type="character" w:customStyle="1" w:styleId="TextkomenteChar">
    <w:name w:val="Text komentáře Char"/>
    <w:basedOn w:val="Standardnpsmoodstavce"/>
    <w:link w:val="Textkomente"/>
    <w:uiPriority w:val="99"/>
    <w:rsid w:val="00744504"/>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44504"/>
    <w:rPr>
      <w:b/>
      <w:bCs/>
    </w:rPr>
  </w:style>
  <w:style w:type="character" w:customStyle="1" w:styleId="PedmtkomenteChar">
    <w:name w:val="Předmět komentáře Char"/>
    <w:basedOn w:val="TextkomenteChar"/>
    <w:link w:val="Pedmtkomente"/>
    <w:uiPriority w:val="99"/>
    <w:semiHidden/>
    <w:rsid w:val="00744504"/>
    <w:rPr>
      <w:rFonts w:ascii="Arial" w:eastAsia="Times New Roman" w:hAnsi="Arial" w:cs="Times New Roman"/>
      <w:b/>
      <w:bCs/>
      <w:sz w:val="20"/>
      <w:szCs w:val="20"/>
      <w:lang w:eastAsia="cs-CZ"/>
    </w:rPr>
  </w:style>
  <w:style w:type="paragraph" w:customStyle="1" w:styleId="Default">
    <w:name w:val="Default"/>
    <w:rsid w:val="006E1DBB"/>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747C2E"/>
    <w:pPr>
      <w:spacing w:after="0" w:line="240" w:lineRule="auto"/>
    </w:pPr>
    <w:rPr>
      <w:rFonts w:ascii="Arial" w:eastAsia="Times New Roman" w:hAnsi="Arial" w:cs="Times New Roman"/>
      <w:sz w:val="18"/>
      <w:szCs w:val="20"/>
      <w:lang w:eastAsia="cs-CZ"/>
    </w:rPr>
  </w:style>
  <w:style w:type="paragraph" w:styleId="Textpoznpodarou">
    <w:name w:val="footnote text"/>
    <w:basedOn w:val="Normln"/>
    <w:link w:val="TextpoznpodarouChar"/>
    <w:uiPriority w:val="99"/>
    <w:semiHidden/>
    <w:unhideWhenUsed/>
    <w:rsid w:val="00AA6453"/>
    <w:rPr>
      <w:sz w:val="20"/>
    </w:rPr>
  </w:style>
  <w:style w:type="character" w:customStyle="1" w:styleId="TextpoznpodarouChar">
    <w:name w:val="Text pozn. pod čarou Char"/>
    <w:basedOn w:val="Standardnpsmoodstavce"/>
    <w:link w:val="Textpoznpodarou"/>
    <w:uiPriority w:val="99"/>
    <w:semiHidden/>
    <w:rsid w:val="00AA6453"/>
    <w:rPr>
      <w:rFonts w:ascii="Arial" w:eastAsia="Times New Roman" w:hAnsi="Arial" w:cs="Times New Roman"/>
      <w:sz w:val="20"/>
      <w:szCs w:val="20"/>
      <w:lang w:eastAsia="cs-CZ"/>
    </w:rPr>
  </w:style>
  <w:style w:type="character" w:styleId="Znakapoznpodarou">
    <w:name w:val="footnote reference"/>
    <w:basedOn w:val="Standardnpsmoodstavce"/>
    <w:uiPriority w:val="99"/>
    <w:semiHidden/>
    <w:unhideWhenUsed/>
    <w:rsid w:val="00AA64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74939">
      <w:bodyDiv w:val="1"/>
      <w:marLeft w:val="0"/>
      <w:marRight w:val="0"/>
      <w:marTop w:val="0"/>
      <w:marBottom w:val="0"/>
      <w:divBdr>
        <w:top w:val="none" w:sz="0" w:space="0" w:color="auto"/>
        <w:left w:val="none" w:sz="0" w:space="0" w:color="auto"/>
        <w:bottom w:val="none" w:sz="0" w:space="0" w:color="auto"/>
        <w:right w:val="none" w:sz="0" w:space="0" w:color="auto"/>
      </w:divBdr>
    </w:div>
    <w:div w:id="125004222">
      <w:bodyDiv w:val="1"/>
      <w:marLeft w:val="0"/>
      <w:marRight w:val="0"/>
      <w:marTop w:val="0"/>
      <w:marBottom w:val="0"/>
      <w:divBdr>
        <w:top w:val="none" w:sz="0" w:space="0" w:color="auto"/>
        <w:left w:val="none" w:sz="0" w:space="0" w:color="auto"/>
        <w:bottom w:val="none" w:sz="0" w:space="0" w:color="auto"/>
        <w:right w:val="none" w:sz="0" w:space="0" w:color="auto"/>
      </w:divBdr>
    </w:div>
    <w:div w:id="171840413">
      <w:bodyDiv w:val="1"/>
      <w:marLeft w:val="0"/>
      <w:marRight w:val="0"/>
      <w:marTop w:val="0"/>
      <w:marBottom w:val="0"/>
      <w:divBdr>
        <w:top w:val="none" w:sz="0" w:space="0" w:color="auto"/>
        <w:left w:val="none" w:sz="0" w:space="0" w:color="auto"/>
        <w:bottom w:val="none" w:sz="0" w:space="0" w:color="auto"/>
        <w:right w:val="none" w:sz="0" w:space="0" w:color="auto"/>
      </w:divBdr>
    </w:div>
    <w:div w:id="175772208">
      <w:bodyDiv w:val="1"/>
      <w:marLeft w:val="0"/>
      <w:marRight w:val="0"/>
      <w:marTop w:val="0"/>
      <w:marBottom w:val="0"/>
      <w:divBdr>
        <w:top w:val="none" w:sz="0" w:space="0" w:color="auto"/>
        <w:left w:val="none" w:sz="0" w:space="0" w:color="auto"/>
        <w:bottom w:val="none" w:sz="0" w:space="0" w:color="auto"/>
        <w:right w:val="none" w:sz="0" w:space="0" w:color="auto"/>
      </w:divBdr>
    </w:div>
    <w:div w:id="213080258">
      <w:bodyDiv w:val="1"/>
      <w:marLeft w:val="0"/>
      <w:marRight w:val="0"/>
      <w:marTop w:val="0"/>
      <w:marBottom w:val="0"/>
      <w:divBdr>
        <w:top w:val="none" w:sz="0" w:space="0" w:color="auto"/>
        <w:left w:val="none" w:sz="0" w:space="0" w:color="auto"/>
        <w:bottom w:val="none" w:sz="0" w:space="0" w:color="auto"/>
        <w:right w:val="none" w:sz="0" w:space="0" w:color="auto"/>
      </w:divBdr>
    </w:div>
    <w:div w:id="235168362">
      <w:bodyDiv w:val="1"/>
      <w:marLeft w:val="0"/>
      <w:marRight w:val="0"/>
      <w:marTop w:val="0"/>
      <w:marBottom w:val="0"/>
      <w:divBdr>
        <w:top w:val="none" w:sz="0" w:space="0" w:color="auto"/>
        <w:left w:val="none" w:sz="0" w:space="0" w:color="auto"/>
        <w:bottom w:val="none" w:sz="0" w:space="0" w:color="auto"/>
        <w:right w:val="none" w:sz="0" w:space="0" w:color="auto"/>
      </w:divBdr>
    </w:div>
    <w:div w:id="313801545">
      <w:bodyDiv w:val="1"/>
      <w:marLeft w:val="0"/>
      <w:marRight w:val="0"/>
      <w:marTop w:val="0"/>
      <w:marBottom w:val="0"/>
      <w:divBdr>
        <w:top w:val="none" w:sz="0" w:space="0" w:color="auto"/>
        <w:left w:val="none" w:sz="0" w:space="0" w:color="auto"/>
        <w:bottom w:val="none" w:sz="0" w:space="0" w:color="auto"/>
        <w:right w:val="none" w:sz="0" w:space="0" w:color="auto"/>
      </w:divBdr>
    </w:div>
    <w:div w:id="320087060">
      <w:bodyDiv w:val="1"/>
      <w:marLeft w:val="0"/>
      <w:marRight w:val="0"/>
      <w:marTop w:val="0"/>
      <w:marBottom w:val="0"/>
      <w:divBdr>
        <w:top w:val="none" w:sz="0" w:space="0" w:color="auto"/>
        <w:left w:val="none" w:sz="0" w:space="0" w:color="auto"/>
        <w:bottom w:val="none" w:sz="0" w:space="0" w:color="auto"/>
        <w:right w:val="none" w:sz="0" w:space="0" w:color="auto"/>
      </w:divBdr>
    </w:div>
    <w:div w:id="383871093">
      <w:bodyDiv w:val="1"/>
      <w:marLeft w:val="0"/>
      <w:marRight w:val="0"/>
      <w:marTop w:val="0"/>
      <w:marBottom w:val="0"/>
      <w:divBdr>
        <w:top w:val="none" w:sz="0" w:space="0" w:color="auto"/>
        <w:left w:val="none" w:sz="0" w:space="0" w:color="auto"/>
        <w:bottom w:val="none" w:sz="0" w:space="0" w:color="auto"/>
        <w:right w:val="none" w:sz="0" w:space="0" w:color="auto"/>
      </w:divBdr>
    </w:div>
    <w:div w:id="389623159">
      <w:bodyDiv w:val="1"/>
      <w:marLeft w:val="0"/>
      <w:marRight w:val="0"/>
      <w:marTop w:val="0"/>
      <w:marBottom w:val="0"/>
      <w:divBdr>
        <w:top w:val="none" w:sz="0" w:space="0" w:color="auto"/>
        <w:left w:val="none" w:sz="0" w:space="0" w:color="auto"/>
        <w:bottom w:val="none" w:sz="0" w:space="0" w:color="auto"/>
        <w:right w:val="none" w:sz="0" w:space="0" w:color="auto"/>
      </w:divBdr>
    </w:div>
    <w:div w:id="433131831">
      <w:bodyDiv w:val="1"/>
      <w:marLeft w:val="0"/>
      <w:marRight w:val="0"/>
      <w:marTop w:val="0"/>
      <w:marBottom w:val="0"/>
      <w:divBdr>
        <w:top w:val="none" w:sz="0" w:space="0" w:color="auto"/>
        <w:left w:val="none" w:sz="0" w:space="0" w:color="auto"/>
        <w:bottom w:val="none" w:sz="0" w:space="0" w:color="auto"/>
        <w:right w:val="none" w:sz="0" w:space="0" w:color="auto"/>
      </w:divBdr>
    </w:div>
    <w:div w:id="434447739">
      <w:bodyDiv w:val="1"/>
      <w:marLeft w:val="0"/>
      <w:marRight w:val="0"/>
      <w:marTop w:val="0"/>
      <w:marBottom w:val="0"/>
      <w:divBdr>
        <w:top w:val="none" w:sz="0" w:space="0" w:color="auto"/>
        <w:left w:val="none" w:sz="0" w:space="0" w:color="auto"/>
        <w:bottom w:val="none" w:sz="0" w:space="0" w:color="auto"/>
        <w:right w:val="none" w:sz="0" w:space="0" w:color="auto"/>
      </w:divBdr>
    </w:div>
    <w:div w:id="622227915">
      <w:bodyDiv w:val="1"/>
      <w:marLeft w:val="0"/>
      <w:marRight w:val="0"/>
      <w:marTop w:val="0"/>
      <w:marBottom w:val="0"/>
      <w:divBdr>
        <w:top w:val="none" w:sz="0" w:space="0" w:color="auto"/>
        <w:left w:val="none" w:sz="0" w:space="0" w:color="auto"/>
        <w:bottom w:val="none" w:sz="0" w:space="0" w:color="auto"/>
        <w:right w:val="none" w:sz="0" w:space="0" w:color="auto"/>
      </w:divBdr>
    </w:div>
    <w:div w:id="720321726">
      <w:bodyDiv w:val="1"/>
      <w:marLeft w:val="0"/>
      <w:marRight w:val="0"/>
      <w:marTop w:val="0"/>
      <w:marBottom w:val="0"/>
      <w:divBdr>
        <w:top w:val="none" w:sz="0" w:space="0" w:color="auto"/>
        <w:left w:val="none" w:sz="0" w:space="0" w:color="auto"/>
        <w:bottom w:val="none" w:sz="0" w:space="0" w:color="auto"/>
        <w:right w:val="none" w:sz="0" w:space="0" w:color="auto"/>
      </w:divBdr>
    </w:div>
    <w:div w:id="740103959">
      <w:bodyDiv w:val="1"/>
      <w:marLeft w:val="0"/>
      <w:marRight w:val="0"/>
      <w:marTop w:val="0"/>
      <w:marBottom w:val="0"/>
      <w:divBdr>
        <w:top w:val="none" w:sz="0" w:space="0" w:color="auto"/>
        <w:left w:val="none" w:sz="0" w:space="0" w:color="auto"/>
        <w:bottom w:val="none" w:sz="0" w:space="0" w:color="auto"/>
        <w:right w:val="none" w:sz="0" w:space="0" w:color="auto"/>
      </w:divBdr>
    </w:div>
    <w:div w:id="744883708">
      <w:bodyDiv w:val="1"/>
      <w:marLeft w:val="0"/>
      <w:marRight w:val="0"/>
      <w:marTop w:val="0"/>
      <w:marBottom w:val="0"/>
      <w:divBdr>
        <w:top w:val="none" w:sz="0" w:space="0" w:color="auto"/>
        <w:left w:val="none" w:sz="0" w:space="0" w:color="auto"/>
        <w:bottom w:val="none" w:sz="0" w:space="0" w:color="auto"/>
        <w:right w:val="none" w:sz="0" w:space="0" w:color="auto"/>
      </w:divBdr>
    </w:div>
    <w:div w:id="775829942">
      <w:bodyDiv w:val="1"/>
      <w:marLeft w:val="0"/>
      <w:marRight w:val="0"/>
      <w:marTop w:val="0"/>
      <w:marBottom w:val="0"/>
      <w:divBdr>
        <w:top w:val="none" w:sz="0" w:space="0" w:color="auto"/>
        <w:left w:val="none" w:sz="0" w:space="0" w:color="auto"/>
        <w:bottom w:val="none" w:sz="0" w:space="0" w:color="auto"/>
        <w:right w:val="none" w:sz="0" w:space="0" w:color="auto"/>
      </w:divBdr>
    </w:div>
    <w:div w:id="794324714">
      <w:bodyDiv w:val="1"/>
      <w:marLeft w:val="0"/>
      <w:marRight w:val="0"/>
      <w:marTop w:val="0"/>
      <w:marBottom w:val="0"/>
      <w:divBdr>
        <w:top w:val="none" w:sz="0" w:space="0" w:color="auto"/>
        <w:left w:val="none" w:sz="0" w:space="0" w:color="auto"/>
        <w:bottom w:val="none" w:sz="0" w:space="0" w:color="auto"/>
        <w:right w:val="none" w:sz="0" w:space="0" w:color="auto"/>
      </w:divBdr>
    </w:div>
    <w:div w:id="844367420">
      <w:bodyDiv w:val="1"/>
      <w:marLeft w:val="0"/>
      <w:marRight w:val="0"/>
      <w:marTop w:val="0"/>
      <w:marBottom w:val="0"/>
      <w:divBdr>
        <w:top w:val="none" w:sz="0" w:space="0" w:color="auto"/>
        <w:left w:val="none" w:sz="0" w:space="0" w:color="auto"/>
        <w:bottom w:val="none" w:sz="0" w:space="0" w:color="auto"/>
        <w:right w:val="none" w:sz="0" w:space="0" w:color="auto"/>
      </w:divBdr>
    </w:div>
    <w:div w:id="860356969">
      <w:bodyDiv w:val="1"/>
      <w:marLeft w:val="0"/>
      <w:marRight w:val="0"/>
      <w:marTop w:val="0"/>
      <w:marBottom w:val="0"/>
      <w:divBdr>
        <w:top w:val="none" w:sz="0" w:space="0" w:color="auto"/>
        <w:left w:val="none" w:sz="0" w:space="0" w:color="auto"/>
        <w:bottom w:val="none" w:sz="0" w:space="0" w:color="auto"/>
        <w:right w:val="none" w:sz="0" w:space="0" w:color="auto"/>
      </w:divBdr>
    </w:div>
    <w:div w:id="874662016">
      <w:bodyDiv w:val="1"/>
      <w:marLeft w:val="0"/>
      <w:marRight w:val="0"/>
      <w:marTop w:val="0"/>
      <w:marBottom w:val="0"/>
      <w:divBdr>
        <w:top w:val="none" w:sz="0" w:space="0" w:color="auto"/>
        <w:left w:val="none" w:sz="0" w:space="0" w:color="auto"/>
        <w:bottom w:val="none" w:sz="0" w:space="0" w:color="auto"/>
        <w:right w:val="none" w:sz="0" w:space="0" w:color="auto"/>
      </w:divBdr>
    </w:div>
    <w:div w:id="881596654">
      <w:bodyDiv w:val="1"/>
      <w:marLeft w:val="0"/>
      <w:marRight w:val="0"/>
      <w:marTop w:val="0"/>
      <w:marBottom w:val="0"/>
      <w:divBdr>
        <w:top w:val="none" w:sz="0" w:space="0" w:color="auto"/>
        <w:left w:val="none" w:sz="0" w:space="0" w:color="auto"/>
        <w:bottom w:val="none" w:sz="0" w:space="0" w:color="auto"/>
        <w:right w:val="none" w:sz="0" w:space="0" w:color="auto"/>
      </w:divBdr>
    </w:div>
    <w:div w:id="972368172">
      <w:bodyDiv w:val="1"/>
      <w:marLeft w:val="0"/>
      <w:marRight w:val="0"/>
      <w:marTop w:val="0"/>
      <w:marBottom w:val="0"/>
      <w:divBdr>
        <w:top w:val="none" w:sz="0" w:space="0" w:color="auto"/>
        <w:left w:val="none" w:sz="0" w:space="0" w:color="auto"/>
        <w:bottom w:val="none" w:sz="0" w:space="0" w:color="auto"/>
        <w:right w:val="none" w:sz="0" w:space="0" w:color="auto"/>
      </w:divBdr>
    </w:div>
    <w:div w:id="974721017">
      <w:bodyDiv w:val="1"/>
      <w:marLeft w:val="0"/>
      <w:marRight w:val="0"/>
      <w:marTop w:val="0"/>
      <w:marBottom w:val="0"/>
      <w:divBdr>
        <w:top w:val="none" w:sz="0" w:space="0" w:color="auto"/>
        <w:left w:val="none" w:sz="0" w:space="0" w:color="auto"/>
        <w:bottom w:val="none" w:sz="0" w:space="0" w:color="auto"/>
        <w:right w:val="none" w:sz="0" w:space="0" w:color="auto"/>
      </w:divBdr>
    </w:div>
    <w:div w:id="1031538979">
      <w:bodyDiv w:val="1"/>
      <w:marLeft w:val="0"/>
      <w:marRight w:val="0"/>
      <w:marTop w:val="0"/>
      <w:marBottom w:val="0"/>
      <w:divBdr>
        <w:top w:val="none" w:sz="0" w:space="0" w:color="auto"/>
        <w:left w:val="none" w:sz="0" w:space="0" w:color="auto"/>
        <w:bottom w:val="none" w:sz="0" w:space="0" w:color="auto"/>
        <w:right w:val="none" w:sz="0" w:space="0" w:color="auto"/>
      </w:divBdr>
    </w:div>
    <w:div w:id="1149251152">
      <w:bodyDiv w:val="1"/>
      <w:marLeft w:val="0"/>
      <w:marRight w:val="0"/>
      <w:marTop w:val="0"/>
      <w:marBottom w:val="0"/>
      <w:divBdr>
        <w:top w:val="none" w:sz="0" w:space="0" w:color="auto"/>
        <w:left w:val="none" w:sz="0" w:space="0" w:color="auto"/>
        <w:bottom w:val="none" w:sz="0" w:space="0" w:color="auto"/>
        <w:right w:val="none" w:sz="0" w:space="0" w:color="auto"/>
      </w:divBdr>
    </w:div>
    <w:div w:id="1285036963">
      <w:bodyDiv w:val="1"/>
      <w:marLeft w:val="0"/>
      <w:marRight w:val="0"/>
      <w:marTop w:val="0"/>
      <w:marBottom w:val="0"/>
      <w:divBdr>
        <w:top w:val="none" w:sz="0" w:space="0" w:color="auto"/>
        <w:left w:val="none" w:sz="0" w:space="0" w:color="auto"/>
        <w:bottom w:val="none" w:sz="0" w:space="0" w:color="auto"/>
        <w:right w:val="none" w:sz="0" w:space="0" w:color="auto"/>
      </w:divBdr>
    </w:div>
    <w:div w:id="1303655994">
      <w:bodyDiv w:val="1"/>
      <w:marLeft w:val="0"/>
      <w:marRight w:val="0"/>
      <w:marTop w:val="0"/>
      <w:marBottom w:val="0"/>
      <w:divBdr>
        <w:top w:val="none" w:sz="0" w:space="0" w:color="auto"/>
        <w:left w:val="none" w:sz="0" w:space="0" w:color="auto"/>
        <w:bottom w:val="none" w:sz="0" w:space="0" w:color="auto"/>
        <w:right w:val="none" w:sz="0" w:space="0" w:color="auto"/>
      </w:divBdr>
    </w:div>
    <w:div w:id="1350253804">
      <w:bodyDiv w:val="1"/>
      <w:marLeft w:val="0"/>
      <w:marRight w:val="0"/>
      <w:marTop w:val="0"/>
      <w:marBottom w:val="0"/>
      <w:divBdr>
        <w:top w:val="none" w:sz="0" w:space="0" w:color="auto"/>
        <w:left w:val="none" w:sz="0" w:space="0" w:color="auto"/>
        <w:bottom w:val="none" w:sz="0" w:space="0" w:color="auto"/>
        <w:right w:val="none" w:sz="0" w:space="0" w:color="auto"/>
      </w:divBdr>
    </w:div>
    <w:div w:id="1366446254">
      <w:bodyDiv w:val="1"/>
      <w:marLeft w:val="0"/>
      <w:marRight w:val="0"/>
      <w:marTop w:val="0"/>
      <w:marBottom w:val="0"/>
      <w:divBdr>
        <w:top w:val="none" w:sz="0" w:space="0" w:color="auto"/>
        <w:left w:val="none" w:sz="0" w:space="0" w:color="auto"/>
        <w:bottom w:val="none" w:sz="0" w:space="0" w:color="auto"/>
        <w:right w:val="none" w:sz="0" w:space="0" w:color="auto"/>
      </w:divBdr>
    </w:div>
    <w:div w:id="1509517607">
      <w:bodyDiv w:val="1"/>
      <w:marLeft w:val="0"/>
      <w:marRight w:val="0"/>
      <w:marTop w:val="0"/>
      <w:marBottom w:val="0"/>
      <w:divBdr>
        <w:top w:val="none" w:sz="0" w:space="0" w:color="auto"/>
        <w:left w:val="none" w:sz="0" w:space="0" w:color="auto"/>
        <w:bottom w:val="none" w:sz="0" w:space="0" w:color="auto"/>
        <w:right w:val="none" w:sz="0" w:space="0" w:color="auto"/>
      </w:divBdr>
    </w:div>
    <w:div w:id="1553422533">
      <w:bodyDiv w:val="1"/>
      <w:marLeft w:val="0"/>
      <w:marRight w:val="0"/>
      <w:marTop w:val="0"/>
      <w:marBottom w:val="0"/>
      <w:divBdr>
        <w:top w:val="none" w:sz="0" w:space="0" w:color="auto"/>
        <w:left w:val="none" w:sz="0" w:space="0" w:color="auto"/>
        <w:bottom w:val="none" w:sz="0" w:space="0" w:color="auto"/>
        <w:right w:val="none" w:sz="0" w:space="0" w:color="auto"/>
      </w:divBdr>
    </w:div>
    <w:div w:id="1615551508">
      <w:bodyDiv w:val="1"/>
      <w:marLeft w:val="0"/>
      <w:marRight w:val="0"/>
      <w:marTop w:val="0"/>
      <w:marBottom w:val="0"/>
      <w:divBdr>
        <w:top w:val="none" w:sz="0" w:space="0" w:color="auto"/>
        <w:left w:val="none" w:sz="0" w:space="0" w:color="auto"/>
        <w:bottom w:val="none" w:sz="0" w:space="0" w:color="auto"/>
        <w:right w:val="none" w:sz="0" w:space="0" w:color="auto"/>
      </w:divBdr>
    </w:div>
    <w:div w:id="1727532493">
      <w:bodyDiv w:val="1"/>
      <w:marLeft w:val="0"/>
      <w:marRight w:val="0"/>
      <w:marTop w:val="0"/>
      <w:marBottom w:val="0"/>
      <w:divBdr>
        <w:top w:val="none" w:sz="0" w:space="0" w:color="auto"/>
        <w:left w:val="none" w:sz="0" w:space="0" w:color="auto"/>
        <w:bottom w:val="none" w:sz="0" w:space="0" w:color="auto"/>
        <w:right w:val="none" w:sz="0" w:space="0" w:color="auto"/>
      </w:divBdr>
    </w:div>
    <w:div w:id="1757242897">
      <w:bodyDiv w:val="1"/>
      <w:marLeft w:val="0"/>
      <w:marRight w:val="0"/>
      <w:marTop w:val="0"/>
      <w:marBottom w:val="0"/>
      <w:divBdr>
        <w:top w:val="none" w:sz="0" w:space="0" w:color="auto"/>
        <w:left w:val="none" w:sz="0" w:space="0" w:color="auto"/>
        <w:bottom w:val="none" w:sz="0" w:space="0" w:color="auto"/>
        <w:right w:val="none" w:sz="0" w:space="0" w:color="auto"/>
      </w:divBdr>
    </w:div>
    <w:div w:id="1775709910">
      <w:bodyDiv w:val="1"/>
      <w:marLeft w:val="0"/>
      <w:marRight w:val="0"/>
      <w:marTop w:val="0"/>
      <w:marBottom w:val="0"/>
      <w:divBdr>
        <w:top w:val="none" w:sz="0" w:space="0" w:color="auto"/>
        <w:left w:val="none" w:sz="0" w:space="0" w:color="auto"/>
        <w:bottom w:val="none" w:sz="0" w:space="0" w:color="auto"/>
        <w:right w:val="none" w:sz="0" w:space="0" w:color="auto"/>
      </w:divBdr>
      <w:divsChild>
        <w:div w:id="1008944210">
          <w:marLeft w:val="547"/>
          <w:marRight w:val="0"/>
          <w:marTop w:val="0"/>
          <w:marBottom w:val="0"/>
          <w:divBdr>
            <w:top w:val="none" w:sz="0" w:space="0" w:color="auto"/>
            <w:left w:val="none" w:sz="0" w:space="0" w:color="auto"/>
            <w:bottom w:val="none" w:sz="0" w:space="0" w:color="auto"/>
            <w:right w:val="none" w:sz="0" w:space="0" w:color="auto"/>
          </w:divBdr>
        </w:div>
      </w:divsChild>
    </w:div>
    <w:div w:id="1777214021">
      <w:bodyDiv w:val="1"/>
      <w:marLeft w:val="0"/>
      <w:marRight w:val="0"/>
      <w:marTop w:val="0"/>
      <w:marBottom w:val="0"/>
      <w:divBdr>
        <w:top w:val="none" w:sz="0" w:space="0" w:color="auto"/>
        <w:left w:val="none" w:sz="0" w:space="0" w:color="auto"/>
        <w:bottom w:val="none" w:sz="0" w:space="0" w:color="auto"/>
        <w:right w:val="none" w:sz="0" w:space="0" w:color="auto"/>
      </w:divBdr>
    </w:div>
    <w:div w:id="1863548730">
      <w:bodyDiv w:val="1"/>
      <w:marLeft w:val="0"/>
      <w:marRight w:val="0"/>
      <w:marTop w:val="0"/>
      <w:marBottom w:val="0"/>
      <w:divBdr>
        <w:top w:val="none" w:sz="0" w:space="0" w:color="auto"/>
        <w:left w:val="none" w:sz="0" w:space="0" w:color="auto"/>
        <w:bottom w:val="none" w:sz="0" w:space="0" w:color="auto"/>
        <w:right w:val="none" w:sz="0" w:space="0" w:color="auto"/>
      </w:divBdr>
    </w:div>
    <w:div w:id="1882788502">
      <w:bodyDiv w:val="1"/>
      <w:marLeft w:val="0"/>
      <w:marRight w:val="0"/>
      <w:marTop w:val="0"/>
      <w:marBottom w:val="0"/>
      <w:divBdr>
        <w:top w:val="none" w:sz="0" w:space="0" w:color="auto"/>
        <w:left w:val="none" w:sz="0" w:space="0" w:color="auto"/>
        <w:bottom w:val="none" w:sz="0" w:space="0" w:color="auto"/>
        <w:right w:val="none" w:sz="0" w:space="0" w:color="auto"/>
      </w:divBdr>
    </w:div>
    <w:div w:id="2033920408">
      <w:bodyDiv w:val="1"/>
      <w:marLeft w:val="0"/>
      <w:marRight w:val="0"/>
      <w:marTop w:val="0"/>
      <w:marBottom w:val="0"/>
      <w:divBdr>
        <w:top w:val="none" w:sz="0" w:space="0" w:color="auto"/>
        <w:left w:val="none" w:sz="0" w:space="0" w:color="auto"/>
        <w:bottom w:val="none" w:sz="0" w:space="0" w:color="auto"/>
        <w:right w:val="none" w:sz="0" w:space="0" w:color="auto"/>
      </w:divBdr>
    </w:div>
    <w:div w:id="204821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Calibri Light"/>
        <a:ea typeface=""/>
        <a:cs typeface=""/>
      </a:majorFont>
      <a:minorFont>
        <a:latin typeface="Calibri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438BB-0461-4865-ADE6-1891B4A8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2262</Words>
  <Characters>13350</Characters>
  <Application>Microsoft Office Word</Application>
  <DocSecurity>0</DocSecurity>
  <Lines>111</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UGIS</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vlachova</dc:creator>
  <cp:lastModifiedBy>Andrea Trudičová</cp:lastModifiedBy>
  <cp:revision>14</cp:revision>
  <cp:lastPrinted>2021-02-09T12:15:00Z</cp:lastPrinted>
  <dcterms:created xsi:type="dcterms:W3CDTF">2021-02-10T08:29:00Z</dcterms:created>
  <dcterms:modified xsi:type="dcterms:W3CDTF">2021-02-11T07:08:00Z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0254f4-34d0-49c5-b888-af4abf762ef7_Enabled">
    <vt:lpwstr>True</vt:lpwstr>
  </property>
  <property fmtid="{D5CDD505-2E9C-101B-9397-08002B2CF9AE}" pid="3" name="MSIP_Label_390254f4-34d0-49c5-b888-af4abf762ef7_SiteId">
    <vt:lpwstr>2cc49ce9-66a1-41ac-a96b-bdc54247696a</vt:lpwstr>
  </property>
  <property fmtid="{D5CDD505-2E9C-101B-9397-08002B2CF9AE}" pid="4" name="MSIP_Label_390254f4-34d0-49c5-b888-af4abf762ef7_Owner">
    <vt:lpwstr>Pavel.Sobisek@unicreditgroup.cz</vt:lpwstr>
  </property>
  <property fmtid="{D5CDD505-2E9C-101B-9397-08002B2CF9AE}" pid="5" name="MSIP_Label_390254f4-34d0-49c5-b888-af4abf762ef7_SetDate">
    <vt:lpwstr>2020-01-15T16:11:29.8787231Z</vt:lpwstr>
  </property>
  <property fmtid="{D5CDD505-2E9C-101B-9397-08002B2CF9AE}" pid="6" name="MSIP_Label_390254f4-34d0-49c5-b888-af4abf762ef7_Name">
    <vt:lpwstr>Internal Use Only</vt:lpwstr>
  </property>
  <property fmtid="{D5CDD505-2E9C-101B-9397-08002B2CF9AE}" pid="7" name="MSIP_Label_390254f4-34d0-49c5-b888-af4abf762ef7_Application">
    <vt:lpwstr>Microsoft Azure Information Protection</vt:lpwstr>
  </property>
  <property fmtid="{D5CDD505-2E9C-101B-9397-08002B2CF9AE}" pid="8" name="MSIP_Label_390254f4-34d0-49c5-b888-af4abf762ef7_ActionId">
    <vt:lpwstr>43f3763f-d3c6-435c-ae50-a4a40081b5fb</vt:lpwstr>
  </property>
  <property fmtid="{D5CDD505-2E9C-101B-9397-08002B2CF9AE}" pid="9" name="MSIP_Label_390254f4-34d0-49c5-b888-af4abf762ef7_Extended_MSFT_Method">
    <vt:lpwstr>Automatic</vt:lpwstr>
  </property>
  <property fmtid="{D5CDD505-2E9C-101B-9397-08002B2CF9AE}" pid="10" name="MSIP_Label_faa92781-1fcb-4da3-a1a2-e534c28a25f3_Enabled">
    <vt:lpwstr>True</vt:lpwstr>
  </property>
  <property fmtid="{D5CDD505-2E9C-101B-9397-08002B2CF9AE}" pid="11" name="MSIP_Label_faa92781-1fcb-4da3-a1a2-e534c28a25f3_SiteId">
    <vt:lpwstr>2cc49ce9-66a1-41ac-a96b-bdc54247696a</vt:lpwstr>
  </property>
  <property fmtid="{D5CDD505-2E9C-101B-9397-08002B2CF9AE}" pid="12" name="MSIP_Label_faa92781-1fcb-4da3-a1a2-e534c28a25f3_Owner">
    <vt:lpwstr>Pavel.Sobisek@unicreditgroup.cz</vt:lpwstr>
  </property>
  <property fmtid="{D5CDD505-2E9C-101B-9397-08002B2CF9AE}" pid="13" name="MSIP_Label_faa92781-1fcb-4da3-a1a2-e534c28a25f3_SetDate">
    <vt:lpwstr>2020-01-15T16:11:29.8787231Z</vt:lpwstr>
  </property>
  <property fmtid="{D5CDD505-2E9C-101B-9397-08002B2CF9AE}" pid="14" name="MSIP_Label_faa92781-1fcb-4da3-a1a2-e534c28a25f3_Name">
    <vt:lpwstr>in UniCredit Group - no visual markings</vt:lpwstr>
  </property>
  <property fmtid="{D5CDD505-2E9C-101B-9397-08002B2CF9AE}" pid="15" name="MSIP_Label_faa92781-1fcb-4da3-a1a2-e534c28a25f3_Application">
    <vt:lpwstr>Microsoft Azure Information Protection</vt:lpwstr>
  </property>
  <property fmtid="{D5CDD505-2E9C-101B-9397-08002B2CF9AE}" pid="16" name="MSIP_Label_faa92781-1fcb-4da3-a1a2-e534c28a25f3_ActionId">
    <vt:lpwstr>43f3763f-d3c6-435c-ae50-a4a40081b5fb</vt:lpwstr>
  </property>
  <property fmtid="{D5CDD505-2E9C-101B-9397-08002B2CF9AE}" pid="17" name="MSIP_Label_faa92781-1fcb-4da3-a1a2-e534c28a25f3_Parent">
    <vt:lpwstr>390254f4-34d0-49c5-b888-af4abf762ef7</vt:lpwstr>
  </property>
  <property fmtid="{D5CDD505-2E9C-101B-9397-08002B2CF9AE}" pid="18" name="MSIP_Label_faa92781-1fcb-4da3-a1a2-e534c28a25f3_Extended_MSFT_Method">
    <vt:lpwstr>Automatic</vt:lpwstr>
  </property>
  <property fmtid="{D5CDD505-2E9C-101B-9397-08002B2CF9AE}" pid="19" name="Sensitivity">
    <vt:lpwstr>Internal Use Only in UniCredit Group - no visual markings</vt:lpwstr>
  </property>
  <property fmtid="{D5CDD505-2E9C-101B-9397-08002B2CF9AE}" pid="20" name="MSIP_Label_2b3a104e-2916-42dc-a2f6-6210338509ed_Enabled">
    <vt:lpwstr>True</vt:lpwstr>
  </property>
  <property fmtid="{D5CDD505-2E9C-101B-9397-08002B2CF9AE}" pid="21" name="MSIP_Label_2b3a104e-2916-42dc-a2f6-6210338509ed_SiteId">
    <vt:lpwstr>e70aafb3-2e89-46a5-ba50-66803e8a4411</vt:lpwstr>
  </property>
  <property fmtid="{D5CDD505-2E9C-101B-9397-08002B2CF9AE}" pid="22" name="MSIP_Label_2b3a104e-2916-42dc-a2f6-6210338509ed_Owner">
    <vt:lpwstr>cen87316@csin.cz</vt:lpwstr>
  </property>
  <property fmtid="{D5CDD505-2E9C-101B-9397-08002B2CF9AE}" pid="23" name="MSIP_Label_2b3a104e-2916-42dc-a2f6-6210338509ed_SetDate">
    <vt:lpwstr>2020-01-17T08:10:02.3455520Z</vt:lpwstr>
  </property>
  <property fmtid="{D5CDD505-2E9C-101B-9397-08002B2CF9AE}" pid="24" name="MSIP_Label_2b3a104e-2916-42dc-a2f6-6210338509ed_Name">
    <vt:lpwstr>CS Internal</vt:lpwstr>
  </property>
  <property fmtid="{D5CDD505-2E9C-101B-9397-08002B2CF9AE}" pid="25" name="MSIP_Label_2b3a104e-2916-42dc-a2f6-6210338509ed_Application">
    <vt:lpwstr>Microsoft Azure Information Protection</vt:lpwstr>
  </property>
  <property fmtid="{D5CDD505-2E9C-101B-9397-08002B2CF9AE}" pid="26" name="MSIP_Label_2b3a104e-2916-42dc-a2f6-6210338509ed_ActionId">
    <vt:lpwstr>60b9ebe4-46ae-459c-bf59-6a05f328379e</vt:lpwstr>
  </property>
  <property fmtid="{D5CDD505-2E9C-101B-9397-08002B2CF9AE}" pid="27" name="MSIP_Label_2b3a104e-2916-42dc-a2f6-6210338509ed_Extended_MSFT_Method">
    <vt:lpwstr>Automatic</vt:lpwstr>
  </property>
</Properties>
</file>