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A9C7" w14:textId="588EC49D" w:rsidR="00674E01" w:rsidRDefault="00674E01" w:rsidP="00674E01">
      <w:pPr>
        <w:spacing w:after="120" w:line="276" w:lineRule="auto"/>
        <w:contextualSpacing/>
        <w:rPr>
          <w:rFonts w:ascii="Arial" w:hAnsi="Arial" w:cs="Arial"/>
          <w:b/>
          <w:color w:val="007E79"/>
          <w:sz w:val="28"/>
          <w:szCs w:val="28"/>
        </w:rPr>
      </w:pPr>
      <w:r w:rsidRPr="006F3ED1">
        <w:rPr>
          <w:rFonts w:ascii="Arial" w:hAnsi="Arial" w:cs="Arial"/>
          <w:b/>
          <w:color w:val="007E79"/>
          <w:sz w:val="28"/>
          <w:szCs w:val="28"/>
        </w:rPr>
        <w:t>Komentář České bankovní asociace k</w:t>
      </w:r>
      <w:r>
        <w:rPr>
          <w:rFonts w:ascii="Arial" w:hAnsi="Arial" w:cs="Arial"/>
          <w:b/>
          <w:color w:val="007E79"/>
          <w:sz w:val="28"/>
          <w:szCs w:val="28"/>
        </w:rPr>
        <w:t> statistice ČNB: vývoj nevýkonných úvěrů za prosinec 2020</w:t>
      </w:r>
    </w:p>
    <w:p w14:paraId="557A4D5D" w14:textId="77777777" w:rsidR="00E9253B" w:rsidRDefault="00E9253B" w:rsidP="00E9253B">
      <w:pPr>
        <w:spacing w:line="276" w:lineRule="auto"/>
        <w:contextualSpacing/>
        <w:rPr>
          <w:rFonts w:ascii="Arial" w:hAnsi="Arial" w:cs="Arial"/>
          <w:b/>
          <w:color w:val="007E79"/>
          <w:sz w:val="20"/>
        </w:rPr>
      </w:pPr>
    </w:p>
    <w:p w14:paraId="36B1FFD7" w14:textId="691E9656" w:rsidR="00E9253B" w:rsidRPr="00E9253B" w:rsidRDefault="00E9253B" w:rsidP="00E9253B">
      <w:pPr>
        <w:spacing w:line="276" w:lineRule="auto"/>
        <w:contextualSpacing/>
        <w:rPr>
          <w:rFonts w:ascii="Arial" w:hAnsi="Arial" w:cs="Arial"/>
          <w:b/>
          <w:color w:val="007E79"/>
          <w:sz w:val="16"/>
          <w:szCs w:val="18"/>
        </w:rPr>
      </w:pPr>
      <w:r w:rsidRPr="00E9253B">
        <w:rPr>
          <w:rFonts w:ascii="Arial" w:hAnsi="Arial" w:cs="Arial"/>
          <w:b/>
          <w:color w:val="007E79"/>
          <w:sz w:val="20"/>
        </w:rPr>
        <w:t xml:space="preserve">Autor: Vladimír Staňura, hlavní poradce ČBA </w:t>
      </w:r>
    </w:p>
    <w:p w14:paraId="65B0B65E" w14:textId="32C4B4E2" w:rsidR="00E9253B" w:rsidRDefault="00E9253B" w:rsidP="00E9253B">
      <w:pPr>
        <w:spacing w:line="276" w:lineRule="auto"/>
        <w:rPr>
          <w:rFonts w:ascii="Arial" w:hAnsi="Arial" w:cs="Arial"/>
          <w:b/>
          <w:color w:val="007E79"/>
          <w:sz w:val="20"/>
        </w:rPr>
      </w:pPr>
      <w:r w:rsidRPr="00E9253B">
        <w:rPr>
          <w:rFonts w:ascii="Arial" w:hAnsi="Arial" w:cs="Arial"/>
          <w:b/>
          <w:color w:val="007E79"/>
          <w:sz w:val="20"/>
        </w:rPr>
        <w:t xml:space="preserve">Praha, </w:t>
      </w:r>
      <w:r w:rsidR="00951F60">
        <w:rPr>
          <w:rFonts w:ascii="Arial" w:hAnsi="Arial" w:cs="Arial"/>
          <w:b/>
          <w:color w:val="007E79"/>
          <w:sz w:val="20"/>
        </w:rPr>
        <w:t>2</w:t>
      </w:r>
      <w:r w:rsidRPr="00E9253B">
        <w:rPr>
          <w:rFonts w:ascii="Arial" w:hAnsi="Arial" w:cs="Arial"/>
          <w:b/>
          <w:color w:val="007E79"/>
          <w:sz w:val="20"/>
        </w:rPr>
        <w:t xml:space="preserve">. </w:t>
      </w:r>
      <w:r w:rsidR="004A4438">
        <w:rPr>
          <w:rFonts w:ascii="Arial" w:hAnsi="Arial" w:cs="Arial"/>
          <w:b/>
          <w:color w:val="007E79"/>
          <w:sz w:val="20"/>
        </w:rPr>
        <w:t>února</w:t>
      </w:r>
      <w:r w:rsidRPr="00E9253B">
        <w:rPr>
          <w:rFonts w:ascii="Arial" w:hAnsi="Arial" w:cs="Arial"/>
          <w:b/>
          <w:color w:val="007E79"/>
          <w:sz w:val="20"/>
        </w:rPr>
        <w:t xml:space="preserve"> 2021</w:t>
      </w:r>
    </w:p>
    <w:p w14:paraId="66434AF2" w14:textId="77777777" w:rsidR="00E9253B" w:rsidRPr="00E9253B" w:rsidRDefault="00E9253B" w:rsidP="00E9253B">
      <w:pPr>
        <w:spacing w:line="276" w:lineRule="auto"/>
        <w:rPr>
          <w:rFonts w:ascii="Arial" w:hAnsi="Arial" w:cs="Arial"/>
          <w:b/>
          <w:color w:val="007E79"/>
          <w:sz w:val="20"/>
          <w:szCs w:val="20"/>
        </w:rPr>
      </w:pPr>
    </w:p>
    <w:p w14:paraId="4CF857C8" w14:textId="30FF2638" w:rsidR="00951F60" w:rsidRDefault="0071257B" w:rsidP="0071257B">
      <w:pPr>
        <w:rPr>
          <w:rFonts w:ascii="Arial" w:hAnsi="Arial" w:cs="Arial"/>
          <w:sz w:val="20"/>
          <w:szCs w:val="20"/>
        </w:rPr>
      </w:pPr>
      <w:r w:rsidRPr="00E9253B">
        <w:rPr>
          <w:rFonts w:ascii="Arial" w:hAnsi="Arial" w:cs="Arial"/>
          <w:sz w:val="20"/>
          <w:szCs w:val="20"/>
        </w:rPr>
        <w:t>V prosinci se podíl nevýkonných úvěrů na celkové sumě úvěrů o něco zvětšil</w:t>
      </w:r>
      <w:r w:rsidR="00E9253B" w:rsidRPr="00E9253B">
        <w:rPr>
          <w:rFonts w:ascii="Arial" w:hAnsi="Arial" w:cs="Arial"/>
          <w:sz w:val="20"/>
          <w:szCs w:val="20"/>
        </w:rPr>
        <w:t xml:space="preserve">. Podívejme se na srovnání níže, které je důležité </w:t>
      </w:r>
      <w:r w:rsidR="00951F60">
        <w:rPr>
          <w:rFonts w:ascii="Arial" w:hAnsi="Arial" w:cs="Arial"/>
          <w:sz w:val="20"/>
          <w:szCs w:val="20"/>
        </w:rPr>
        <w:t xml:space="preserve">zejména </w:t>
      </w:r>
      <w:r w:rsidR="00E9253B" w:rsidRPr="00E9253B">
        <w:rPr>
          <w:rFonts w:ascii="Arial" w:hAnsi="Arial" w:cs="Arial"/>
          <w:sz w:val="20"/>
          <w:szCs w:val="20"/>
        </w:rPr>
        <w:t xml:space="preserve">proto, že v říjnu byly ukončeny plošné odklady. </w:t>
      </w:r>
      <w:r w:rsidR="00E9253B">
        <w:rPr>
          <w:rFonts w:ascii="Arial" w:hAnsi="Arial" w:cs="Arial"/>
          <w:sz w:val="20"/>
          <w:szCs w:val="20"/>
        </w:rPr>
        <w:t>Dalo se předpokládat</w:t>
      </w:r>
      <w:r w:rsidR="00E9253B" w:rsidRPr="00E9253B">
        <w:rPr>
          <w:rFonts w:ascii="Arial" w:hAnsi="Arial" w:cs="Arial"/>
          <w:sz w:val="20"/>
          <w:szCs w:val="20"/>
        </w:rPr>
        <w:t>, že po jejich ukončení k</w:t>
      </w:r>
      <w:r w:rsidR="00E9253B">
        <w:rPr>
          <w:rFonts w:ascii="Arial" w:hAnsi="Arial" w:cs="Arial"/>
          <w:sz w:val="20"/>
          <w:szCs w:val="20"/>
        </w:rPr>
        <w:t xml:space="preserve"> určitému</w:t>
      </w:r>
      <w:r w:rsidR="00E9253B" w:rsidRPr="00E9253B">
        <w:rPr>
          <w:rFonts w:ascii="Arial" w:hAnsi="Arial" w:cs="Arial"/>
          <w:sz w:val="20"/>
          <w:szCs w:val="20"/>
        </w:rPr>
        <w:t xml:space="preserve"> zhoršení dojde.</w:t>
      </w:r>
      <w:r w:rsidR="00E9253B">
        <w:rPr>
          <w:rFonts w:ascii="Arial" w:hAnsi="Arial" w:cs="Arial"/>
          <w:sz w:val="20"/>
          <w:szCs w:val="20"/>
        </w:rPr>
        <w:t xml:space="preserve"> </w:t>
      </w:r>
    </w:p>
    <w:p w14:paraId="03DDE0A7" w14:textId="77777777" w:rsidR="00951F60" w:rsidRDefault="00951F60" w:rsidP="0071257B">
      <w:pPr>
        <w:rPr>
          <w:rFonts w:ascii="Arial" w:hAnsi="Arial" w:cs="Arial"/>
          <w:sz w:val="20"/>
          <w:szCs w:val="20"/>
        </w:rPr>
      </w:pPr>
    </w:p>
    <w:p w14:paraId="5372BF8A" w14:textId="572BD3E8" w:rsidR="0071257B" w:rsidRPr="00E9253B" w:rsidRDefault="0071257B" w:rsidP="0071257B">
      <w:pPr>
        <w:rPr>
          <w:rFonts w:ascii="Arial" w:hAnsi="Arial" w:cs="Arial"/>
          <w:sz w:val="20"/>
          <w:szCs w:val="20"/>
        </w:rPr>
      </w:pPr>
      <w:r w:rsidRPr="00E9253B">
        <w:rPr>
          <w:rFonts w:ascii="Arial" w:hAnsi="Arial" w:cs="Arial"/>
          <w:sz w:val="20"/>
          <w:szCs w:val="20"/>
        </w:rPr>
        <w:t xml:space="preserve">Srovnání listopadu </w:t>
      </w:r>
      <w:r w:rsidR="00951F60">
        <w:rPr>
          <w:rFonts w:ascii="Arial" w:hAnsi="Arial" w:cs="Arial"/>
          <w:sz w:val="20"/>
          <w:szCs w:val="20"/>
        </w:rPr>
        <w:t xml:space="preserve">2020 </w:t>
      </w:r>
      <w:r w:rsidRPr="00E9253B">
        <w:rPr>
          <w:rFonts w:ascii="Arial" w:hAnsi="Arial" w:cs="Arial"/>
          <w:sz w:val="20"/>
          <w:szCs w:val="20"/>
        </w:rPr>
        <w:t>a prosince</w:t>
      </w:r>
      <w:r w:rsidR="00951F60">
        <w:rPr>
          <w:rFonts w:ascii="Arial" w:hAnsi="Arial" w:cs="Arial"/>
          <w:sz w:val="20"/>
          <w:szCs w:val="20"/>
        </w:rPr>
        <w:t xml:space="preserve"> 2020</w:t>
      </w:r>
      <w:r w:rsidRPr="00E9253B">
        <w:rPr>
          <w:rFonts w:ascii="Arial" w:hAnsi="Arial" w:cs="Arial"/>
          <w:sz w:val="20"/>
          <w:szCs w:val="20"/>
        </w:rPr>
        <w:t xml:space="preserve"> vychází takto: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415"/>
        <w:gridCol w:w="1418"/>
        <w:gridCol w:w="1417"/>
      </w:tblGrid>
      <w:tr w:rsidR="00A5422A" w14:paraId="58874A3A" w14:textId="77777777" w:rsidTr="00A5422A">
        <w:trPr>
          <w:jc w:val="center"/>
        </w:trPr>
        <w:tc>
          <w:tcPr>
            <w:tcW w:w="2549" w:type="dxa"/>
          </w:tcPr>
          <w:p w14:paraId="1FB445B3" w14:textId="77777777" w:rsidR="00A5422A" w:rsidRDefault="00A5422A" w:rsidP="0071257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63152873"/>
          </w:p>
        </w:tc>
        <w:tc>
          <w:tcPr>
            <w:tcW w:w="1415" w:type="dxa"/>
          </w:tcPr>
          <w:p w14:paraId="61E2B579" w14:textId="05FFF2B8" w:rsidR="00A5422A" w:rsidRDefault="00A5422A" w:rsidP="00A5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418" w:type="dxa"/>
          </w:tcPr>
          <w:p w14:paraId="5158CDCE" w14:textId="1A3B7FAF" w:rsidR="00A5422A" w:rsidRDefault="00A5422A" w:rsidP="00A5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417" w:type="dxa"/>
          </w:tcPr>
          <w:p w14:paraId="56DC326C" w14:textId="08BF80F6" w:rsidR="00A5422A" w:rsidRDefault="00A5422A" w:rsidP="00A5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</w:tr>
      <w:tr w:rsidR="00A5422A" w14:paraId="0960F3B0" w14:textId="77777777" w:rsidTr="00A5422A">
        <w:trPr>
          <w:jc w:val="center"/>
        </w:trPr>
        <w:tc>
          <w:tcPr>
            <w:tcW w:w="2549" w:type="dxa"/>
          </w:tcPr>
          <w:p w14:paraId="5937699C" w14:textId="11F4BB0A" w:rsidR="00A5422A" w:rsidRDefault="00A5422A" w:rsidP="00A542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Hlk63152803"/>
            <w:r w:rsidRPr="00674E01">
              <w:rPr>
                <w:rFonts w:ascii="Arial" w:hAnsi="Arial" w:cs="Arial"/>
                <w:sz w:val="20"/>
                <w:szCs w:val="20"/>
              </w:rPr>
              <w:t xml:space="preserve">Domácnosti, spotřební úvěry         </w:t>
            </w:r>
          </w:p>
        </w:tc>
        <w:tc>
          <w:tcPr>
            <w:tcW w:w="1415" w:type="dxa"/>
            <w:vAlign w:val="center"/>
          </w:tcPr>
          <w:p w14:paraId="3DDB7E02" w14:textId="0445EC11" w:rsidR="00A5422A" w:rsidRDefault="00A5422A" w:rsidP="00A5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>4,17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287DE1A1" w14:textId="15E3A828" w:rsidR="00A5422A" w:rsidRPr="00951F60" w:rsidRDefault="00A5422A" w:rsidP="00A54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>4,76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14:paraId="00459B3C" w14:textId="555AAA3F" w:rsidR="00A5422A" w:rsidRDefault="00A5422A" w:rsidP="00A5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>5,08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5422A" w14:paraId="3A4CEABA" w14:textId="77777777" w:rsidTr="00A5422A">
        <w:trPr>
          <w:jc w:val="center"/>
        </w:trPr>
        <w:tc>
          <w:tcPr>
            <w:tcW w:w="2549" w:type="dxa"/>
          </w:tcPr>
          <w:p w14:paraId="677164D4" w14:textId="018AEBD8" w:rsidR="00A5422A" w:rsidRDefault="00A5422A" w:rsidP="00A542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 xml:space="preserve">Domácnosti, hypoteční úvěry        </w:t>
            </w:r>
          </w:p>
        </w:tc>
        <w:tc>
          <w:tcPr>
            <w:tcW w:w="1415" w:type="dxa"/>
            <w:vAlign w:val="center"/>
          </w:tcPr>
          <w:p w14:paraId="04360296" w14:textId="0064E47A" w:rsidR="00A5422A" w:rsidRDefault="00A5422A" w:rsidP="00A5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>0,80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270DD610" w14:textId="303C91F0" w:rsidR="00A5422A" w:rsidRPr="00951F60" w:rsidRDefault="00A5422A" w:rsidP="00A54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>0,86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14:paraId="58D9E5AC" w14:textId="0CA6D975" w:rsidR="00A5422A" w:rsidRPr="00951F60" w:rsidRDefault="00A5422A" w:rsidP="00A54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>0,88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5422A" w14:paraId="79074C20" w14:textId="77777777" w:rsidTr="00A5422A">
        <w:trPr>
          <w:jc w:val="center"/>
        </w:trPr>
        <w:tc>
          <w:tcPr>
            <w:tcW w:w="2549" w:type="dxa"/>
          </w:tcPr>
          <w:p w14:paraId="33D5A2FC" w14:textId="588B1222" w:rsidR="00A5422A" w:rsidRDefault="00A5422A" w:rsidP="00A542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 xml:space="preserve">Podniky                                              </w:t>
            </w:r>
          </w:p>
        </w:tc>
        <w:tc>
          <w:tcPr>
            <w:tcW w:w="1415" w:type="dxa"/>
            <w:vAlign w:val="center"/>
          </w:tcPr>
          <w:p w14:paraId="25DA66FB" w14:textId="77648954" w:rsidR="00A5422A" w:rsidRDefault="00A5422A" w:rsidP="00A5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>3,46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46AD5EF5" w14:textId="6B6731D4" w:rsidR="00A5422A" w:rsidRDefault="00A5422A" w:rsidP="00A5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>3,83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14:paraId="0420CA8E" w14:textId="7952BA41" w:rsidR="00A5422A" w:rsidRDefault="00A5422A" w:rsidP="00A5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>4,15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bookmarkEnd w:id="0"/>
    <w:bookmarkEnd w:id="1"/>
    <w:p w14:paraId="0BCF5873" w14:textId="77777777" w:rsidR="001E1F58" w:rsidRPr="001E1F58" w:rsidRDefault="001E1F58" w:rsidP="001E1F58">
      <w:pPr>
        <w:rPr>
          <w:rFonts w:ascii="Arial" w:hAnsi="Arial" w:cs="Arial"/>
          <w:i/>
          <w:iCs/>
          <w:sz w:val="20"/>
          <w:szCs w:val="20"/>
        </w:rPr>
      </w:pPr>
      <w:r w:rsidRPr="00674E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674E01">
        <w:rPr>
          <w:rFonts w:ascii="Arial" w:hAnsi="Arial" w:cs="Arial"/>
          <w:sz w:val="20"/>
          <w:szCs w:val="20"/>
        </w:rPr>
        <w:t xml:space="preserve"> </w:t>
      </w:r>
      <w:r w:rsidRPr="001E1F58">
        <w:rPr>
          <w:rFonts w:ascii="Arial" w:hAnsi="Arial" w:cs="Arial"/>
          <w:i/>
          <w:iCs/>
          <w:sz w:val="18"/>
          <w:szCs w:val="18"/>
        </w:rPr>
        <w:t>Zdroj: statistika ČNB</w:t>
      </w:r>
    </w:p>
    <w:p w14:paraId="70BA3872" w14:textId="77777777" w:rsidR="00A5422A" w:rsidRPr="00674E01" w:rsidRDefault="00A5422A" w:rsidP="0071257B">
      <w:pPr>
        <w:rPr>
          <w:rFonts w:ascii="Arial" w:hAnsi="Arial" w:cs="Arial"/>
          <w:sz w:val="20"/>
          <w:szCs w:val="20"/>
        </w:rPr>
      </w:pPr>
    </w:p>
    <w:p w14:paraId="2E6EEE1B" w14:textId="70B14CCF" w:rsidR="00466D73" w:rsidRPr="00674E01" w:rsidRDefault="00466D73" w:rsidP="0071257B">
      <w:pPr>
        <w:rPr>
          <w:rFonts w:ascii="Arial" w:hAnsi="Arial" w:cs="Arial"/>
          <w:sz w:val="20"/>
          <w:szCs w:val="20"/>
        </w:rPr>
      </w:pPr>
    </w:p>
    <w:p w14:paraId="5CDC9A95" w14:textId="0EB797BC" w:rsidR="00466D73" w:rsidRPr="00E9253B" w:rsidRDefault="00466D73" w:rsidP="0071257B">
      <w:pPr>
        <w:rPr>
          <w:rFonts w:ascii="Arial" w:hAnsi="Arial" w:cs="Arial"/>
          <w:b/>
          <w:bCs/>
          <w:sz w:val="20"/>
          <w:szCs w:val="20"/>
        </w:rPr>
      </w:pPr>
      <w:r w:rsidRPr="00E9253B">
        <w:rPr>
          <w:rFonts w:ascii="Arial" w:hAnsi="Arial" w:cs="Arial"/>
          <w:b/>
          <w:bCs/>
          <w:sz w:val="20"/>
          <w:szCs w:val="20"/>
        </w:rPr>
        <w:t>Vladimír Staňur</w:t>
      </w:r>
      <w:r w:rsidR="00E9253B">
        <w:rPr>
          <w:rFonts w:ascii="Arial" w:hAnsi="Arial" w:cs="Arial"/>
          <w:b/>
          <w:bCs/>
          <w:sz w:val="20"/>
          <w:szCs w:val="20"/>
        </w:rPr>
        <w:t>a, hlavní poradce ČBA</w:t>
      </w:r>
      <w:r w:rsidRPr="00E9253B">
        <w:rPr>
          <w:rFonts w:ascii="Arial" w:hAnsi="Arial" w:cs="Arial"/>
          <w:b/>
          <w:bCs/>
          <w:sz w:val="20"/>
          <w:szCs w:val="20"/>
        </w:rPr>
        <w:t>:</w:t>
      </w:r>
    </w:p>
    <w:p w14:paraId="5BFA65DE" w14:textId="17472748" w:rsidR="00466D73" w:rsidRPr="00674E01" w:rsidRDefault="00466D73" w:rsidP="0071257B">
      <w:pPr>
        <w:rPr>
          <w:rFonts w:ascii="Arial" w:hAnsi="Arial" w:cs="Arial"/>
          <w:i/>
          <w:iCs/>
          <w:sz w:val="20"/>
          <w:szCs w:val="20"/>
        </w:rPr>
      </w:pPr>
      <w:bookmarkStart w:id="2" w:name="_Hlk63088363"/>
      <w:r w:rsidRPr="00674E01">
        <w:rPr>
          <w:rFonts w:ascii="Arial" w:hAnsi="Arial" w:cs="Arial"/>
          <w:i/>
          <w:iCs/>
          <w:sz w:val="20"/>
          <w:szCs w:val="20"/>
        </w:rPr>
        <w:t>„Zhoršení v kategorii nevýkonných úvěrů po ukončení plošného odkladu k 31.10.2020 bylo očekávatelné.</w:t>
      </w:r>
      <w:r w:rsidR="00C2047C">
        <w:rPr>
          <w:rFonts w:ascii="Arial" w:hAnsi="Arial" w:cs="Arial"/>
          <w:i/>
          <w:iCs/>
          <w:sz w:val="20"/>
          <w:szCs w:val="20"/>
        </w:rPr>
        <w:t xml:space="preserve"> Bez plošného odkladu by </w:t>
      </w:r>
      <w:r w:rsidRPr="00674E01">
        <w:rPr>
          <w:rFonts w:ascii="Arial" w:hAnsi="Arial" w:cs="Arial"/>
          <w:i/>
          <w:iCs/>
          <w:sz w:val="20"/>
          <w:szCs w:val="20"/>
        </w:rPr>
        <w:t>se nevýkonné úvěry začaly zhoršovat už daleko dříve. Plošný odklad tedy znamenal jenom odsunutí individuálních řešení, které považuji za efektivnější.“</w:t>
      </w:r>
    </w:p>
    <w:bookmarkEnd w:id="2"/>
    <w:p w14:paraId="4E2E05D1" w14:textId="77777777" w:rsidR="0071257B" w:rsidRPr="00674E01" w:rsidRDefault="0071257B">
      <w:pPr>
        <w:rPr>
          <w:rFonts w:ascii="Arial" w:hAnsi="Arial" w:cs="Arial"/>
          <w:sz w:val="20"/>
          <w:szCs w:val="20"/>
        </w:rPr>
      </w:pPr>
    </w:p>
    <w:p w14:paraId="521C61EC" w14:textId="7CC971C9" w:rsidR="004F4B32" w:rsidRDefault="00484E8B">
      <w:pPr>
        <w:rPr>
          <w:rFonts w:ascii="Arial" w:hAnsi="Arial" w:cs="Arial"/>
          <w:sz w:val="20"/>
          <w:szCs w:val="20"/>
        </w:rPr>
      </w:pPr>
      <w:r w:rsidRPr="00674E01">
        <w:rPr>
          <w:rFonts w:ascii="Arial" w:hAnsi="Arial" w:cs="Arial"/>
          <w:sz w:val="20"/>
          <w:szCs w:val="20"/>
        </w:rPr>
        <w:t>Zajímavé je ještě srovnání s hodnotami před rokem: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1694"/>
        <w:gridCol w:w="1843"/>
      </w:tblGrid>
      <w:tr w:rsidR="00E9253B" w14:paraId="53D9239B" w14:textId="77777777" w:rsidTr="006B7A07">
        <w:trPr>
          <w:jc w:val="center"/>
        </w:trPr>
        <w:tc>
          <w:tcPr>
            <w:tcW w:w="3121" w:type="dxa"/>
          </w:tcPr>
          <w:p w14:paraId="1B54DA60" w14:textId="77777777" w:rsidR="00E9253B" w:rsidRDefault="00E9253B" w:rsidP="00D93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14A5F5B" w14:textId="18C979FE" w:rsidR="00E9253B" w:rsidRDefault="00E9253B" w:rsidP="00D93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 2019</w:t>
            </w:r>
          </w:p>
        </w:tc>
        <w:tc>
          <w:tcPr>
            <w:tcW w:w="1843" w:type="dxa"/>
          </w:tcPr>
          <w:p w14:paraId="3D38EEAA" w14:textId="0B4E36D1" w:rsidR="00E9253B" w:rsidRDefault="00E9253B" w:rsidP="00D93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 2020</w:t>
            </w:r>
          </w:p>
        </w:tc>
      </w:tr>
      <w:tr w:rsidR="00E9253B" w14:paraId="4F7FC8F5" w14:textId="77777777" w:rsidTr="006B7A07">
        <w:trPr>
          <w:jc w:val="center"/>
        </w:trPr>
        <w:tc>
          <w:tcPr>
            <w:tcW w:w="3121" w:type="dxa"/>
          </w:tcPr>
          <w:p w14:paraId="4C37DC75" w14:textId="77777777" w:rsidR="00E9253B" w:rsidRDefault="00E9253B" w:rsidP="00D93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 xml:space="preserve">Domácnosti, spotřební úvěry         </w:t>
            </w:r>
          </w:p>
        </w:tc>
        <w:tc>
          <w:tcPr>
            <w:tcW w:w="1694" w:type="dxa"/>
            <w:vAlign w:val="center"/>
          </w:tcPr>
          <w:p w14:paraId="1611449B" w14:textId="53A4DE58" w:rsidR="00E9253B" w:rsidRDefault="00E9253B" w:rsidP="00D93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3,99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14:paraId="2F81A874" w14:textId="488B7784" w:rsidR="00E9253B" w:rsidRDefault="00E9253B" w:rsidP="00D93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9253B" w14:paraId="6E72980C" w14:textId="77777777" w:rsidTr="006B7A07">
        <w:trPr>
          <w:jc w:val="center"/>
        </w:trPr>
        <w:tc>
          <w:tcPr>
            <w:tcW w:w="3121" w:type="dxa"/>
          </w:tcPr>
          <w:p w14:paraId="744D4E92" w14:textId="77777777" w:rsidR="00E9253B" w:rsidRDefault="00E9253B" w:rsidP="00D93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 xml:space="preserve">Domácnosti, hypoteční úvěry        </w:t>
            </w:r>
          </w:p>
        </w:tc>
        <w:tc>
          <w:tcPr>
            <w:tcW w:w="1694" w:type="dxa"/>
            <w:vAlign w:val="center"/>
          </w:tcPr>
          <w:p w14:paraId="54CC22A3" w14:textId="5A8B44A0" w:rsidR="00E9253B" w:rsidRDefault="00E9253B" w:rsidP="00D93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14:paraId="36599AC3" w14:textId="11088A0E" w:rsidR="00E9253B" w:rsidRDefault="00E9253B" w:rsidP="00D93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0,88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9253B" w14:paraId="1BD8F804" w14:textId="77777777" w:rsidTr="006B7A07">
        <w:trPr>
          <w:jc w:val="center"/>
        </w:trPr>
        <w:tc>
          <w:tcPr>
            <w:tcW w:w="3121" w:type="dxa"/>
          </w:tcPr>
          <w:p w14:paraId="3D3FFFD7" w14:textId="77777777" w:rsidR="00E9253B" w:rsidRDefault="00E9253B" w:rsidP="00D93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4E01">
              <w:rPr>
                <w:rFonts w:ascii="Arial" w:hAnsi="Arial" w:cs="Arial"/>
                <w:sz w:val="20"/>
                <w:szCs w:val="20"/>
              </w:rPr>
              <w:t xml:space="preserve">Podniky                                              </w:t>
            </w:r>
          </w:p>
        </w:tc>
        <w:tc>
          <w:tcPr>
            <w:tcW w:w="1694" w:type="dxa"/>
            <w:vAlign w:val="center"/>
          </w:tcPr>
          <w:p w14:paraId="5B46C221" w14:textId="13C15CC9" w:rsidR="00E9253B" w:rsidRDefault="00E9253B" w:rsidP="00D93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14:paraId="449262D3" w14:textId="3C7AA11A" w:rsidR="00E9253B" w:rsidRDefault="00E9253B" w:rsidP="00D93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</w:t>
            </w:r>
            <w:r w:rsidR="00951F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14:paraId="173FCBD5" w14:textId="37FA5C92" w:rsidR="001E1F58" w:rsidRPr="001E1F58" w:rsidRDefault="001E1F58" w:rsidP="001E1F58">
      <w:pPr>
        <w:rPr>
          <w:rFonts w:ascii="Arial" w:hAnsi="Arial" w:cs="Arial"/>
          <w:i/>
          <w:iCs/>
          <w:sz w:val="20"/>
          <w:szCs w:val="20"/>
        </w:rPr>
      </w:pPr>
      <w:r w:rsidRPr="00674E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674E01">
        <w:rPr>
          <w:rFonts w:ascii="Arial" w:hAnsi="Arial" w:cs="Arial"/>
          <w:sz w:val="20"/>
          <w:szCs w:val="20"/>
        </w:rPr>
        <w:t xml:space="preserve"> </w:t>
      </w:r>
      <w:r w:rsidRPr="001E1F58">
        <w:rPr>
          <w:rFonts w:ascii="Arial" w:hAnsi="Arial" w:cs="Arial"/>
          <w:i/>
          <w:iCs/>
          <w:sz w:val="18"/>
          <w:szCs w:val="18"/>
        </w:rPr>
        <w:t>Zdroj:</w:t>
      </w:r>
      <w:r w:rsidRPr="001E1F58">
        <w:rPr>
          <w:rFonts w:ascii="Arial" w:hAnsi="Arial" w:cs="Arial"/>
          <w:i/>
          <w:iCs/>
          <w:sz w:val="18"/>
          <w:szCs w:val="18"/>
        </w:rPr>
        <w:t xml:space="preserve"> </w:t>
      </w:r>
      <w:r w:rsidRPr="001E1F58">
        <w:rPr>
          <w:rFonts w:ascii="Arial" w:hAnsi="Arial" w:cs="Arial"/>
          <w:i/>
          <w:iCs/>
          <w:sz w:val="18"/>
          <w:szCs w:val="18"/>
        </w:rPr>
        <w:t>statistika ČNB</w:t>
      </w:r>
    </w:p>
    <w:p w14:paraId="571F227B" w14:textId="77777777" w:rsidR="00E9253B" w:rsidRPr="00674E01" w:rsidRDefault="00E9253B">
      <w:pPr>
        <w:rPr>
          <w:rFonts w:ascii="Arial" w:hAnsi="Arial" w:cs="Arial"/>
          <w:sz w:val="20"/>
          <w:szCs w:val="20"/>
        </w:rPr>
      </w:pPr>
    </w:p>
    <w:p w14:paraId="1BD138D5" w14:textId="68E865C7" w:rsidR="00546BA1" w:rsidRPr="00674E01" w:rsidRDefault="001E1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BCC6EF4" w14:textId="77777777" w:rsidR="00E9253B" w:rsidRPr="00E9253B" w:rsidRDefault="00E9253B" w:rsidP="00E9253B">
      <w:pPr>
        <w:rPr>
          <w:rFonts w:ascii="Arial" w:hAnsi="Arial" w:cs="Arial"/>
          <w:b/>
          <w:bCs/>
          <w:sz w:val="20"/>
          <w:szCs w:val="20"/>
        </w:rPr>
      </w:pPr>
      <w:r w:rsidRPr="00E9253B">
        <w:rPr>
          <w:rFonts w:ascii="Arial" w:hAnsi="Arial" w:cs="Arial"/>
          <w:b/>
          <w:bCs/>
          <w:sz w:val="20"/>
          <w:szCs w:val="20"/>
        </w:rPr>
        <w:t>Vladimír Staňur</w:t>
      </w:r>
      <w:r>
        <w:rPr>
          <w:rFonts w:ascii="Arial" w:hAnsi="Arial" w:cs="Arial"/>
          <w:b/>
          <w:bCs/>
          <w:sz w:val="20"/>
          <w:szCs w:val="20"/>
        </w:rPr>
        <w:t>a, hlavní poradce ČBA</w:t>
      </w:r>
      <w:r w:rsidRPr="00E9253B">
        <w:rPr>
          <w:rFonts w:ascii="Arial" w:hAnsi="Arial" w:cs="Arial"/>
          <w:b/>
          <w:bCs/>
          <w:sz w:val="20"/>
          <w:szCs w:val="20"/>
        </w:rPr>
        <w:t>:</w:t>
      </w:r>
    </w:p>
    <w:p w14:paraId="0F41BE83" w14:textId="1F0A66CA" w:rsidR="00546BA1" w:rsidRDefault="00546BA1">
      <w:pPr>
        <w:rPr>
          <w:rFonts w:ascii="Arial" w:hAnsi="Arial" w:cs="Arial"/>
          <w:i/>
          <w:iCs/>
          <w:sz w:val="20"/>
          <w:szCs w:val="20"/>
        </w:rPr>
      </w:pPr>
      <w:r w:rsidRPr="00674E01">
        <w:rPr>
          <w:rFonts w:ascii="Arial" w:hAnsi="Arial" w:cs="Arial"/>
          <w:i/>
          <w:iCs/>
          <w:sz w:val="20"/>
          <w:szCs w:val="20"/>
        </w:rPr>
        <w:t>„Přes nepatrné zhoršení v nevýkonných úvěrech u hypoték v posledních dvou měsících loňského roku je až neuvěřitelné, že se ve skutečnosti tento parametr za celý rok 2020 zlepšil. Přál bych si, aby tyto historicky nízké hodnoty pokračovaly.“</w:t>
      </w:r>
    </w:p>
    <w:p w14:paraId="6D161E50" w14:textId="77777777" w:rsidR="00D40229" w:rsidRPr="00674E01" w:rsidRDefault="00D40229">
      <w:pPr>
        <w:rPr>
          <w:rFonts w:ascii="Arial" w:hAnsi="Arial" w:cs="Arial"/>
          <w:i/>
          <w:iCs/>
          <w:sz w:val="20"/>
          <w:szCs w:val="20"/>
        </w:rPr>
      </w:pPr>
    </w:p>
    <w:p w14:paraId="475AA516" w14:textId="77777777" w:rsidR="00546BA1" w:rsidRPr="00674E01" w:rsidRDefault="00546BA1">
      <w:pPr>
        <w:rPr>
          <w:rFonts w:ascii="Arial" w:hAnsi="Arial" w:cs="Arial"/>
          <w:sz w:val="20"/>
          <w:szCs w:val="20"/>
        </w:rPr>
      </w:pPr>
    </w:p>
    <w:p w14:paraId="5D990040" w14:textId="13106B24" w:rsidR="00546BA1" w:rsidRPr="00674E01" w:rsidRDefault="00546BA1">
      <w:pPr>
        <w:rPr>
          <w:rFonts w:ascii="Arial" w:hAnsi="Arial" w:cs="Arial"/>
          <w:sz w:val="20"/>
          <w:szCs w:val="20"/>
        </w:rPr>
      </w:pPr>
      <w:r w:rsidRPr="00674E01">
        <w:rPr>
          <w:rFonts w:ascii="Arial" w:hAnsi="Arial" w:cs="Arial"/>
          <w:sz w:val="20"/>
          <w:szCs w:val="20"/>
        </w:rPr>
        <w:t xml:space="preserve">Z grafu níže je vidět, že zhoršení nevýkonných úvěrů, viděno očima 6.leté křivky, není žádné drama. </w:t>
      </w:r>
      <w:r w:rsidR="00DB2CEE" w:rsidRPr="00674E01">
        <w:rPr>
          <w:rFonts w:ascii="Arial" w:hAnsi="Arial" w:cs="Arial"/>
          <w:sz w:val="20"/>
          <w:szCs w:val="20"/>
        </w:rPr>
        <w:t xml:space="preserve">Dá se očekávat další zhoršení po ukončení vládních </w:t>
      </w:r>
      <w:proofErr w:type="spellStart"/>
      <w:r w:rsidR="00DB2CEE" w:rsidRPr="00674E01">
        <w:rPr>
          <w:rFonts w:ascii="Arial" w:hAnsi="Arial" w:cs="Arial"/>
          <w:sz w:val="20"/>
          <w:szCs w:val="20"/>
        </w:rPr>
        <w:t>kovidových</w:t>
      </w:r>
      <w:proofErr w:type="spellEnd"/>
      <w:r w:rsidR="00DB2CEE" w:rsidRPr="00674E01">
        <w:rPr>
          <w:rFonts w:ascii="Arial" w:hAnsi="Arial" w:cs="Arial"/>
          <w:sz w:val="20"/>
          <w:szCs w:val="20"/>
        </w:rPr>
        <w:t xml:space="preserve"> podpor. Důležité bude, jak se bude vyvíjet nezaměstnanost. Tady platí přímá úměra. Vyšší nezaměstnanost = vyšší objemy nevýkonných úvěrů. </w:t>
      </w:r>
    </w:p>
    <w:p w14:paraId="3C432CD1" w14:textId="77777777" w:rsidR="00546BA1" w:rsidRPr="00674E01" w:rsidRDefault="00546BA1">
      <w:pPr>
        <w:rPr>
          <w:rFonts w:ascii="Arial" w:hAnsi="Arial" w:cs="Arial"/>
          <w:b/>
          <w:bCs/>
          <w:sz w:val="20"/>
          <w:szCs w:val="20"/>
        </w:rPr>
      </w:pPr>
    </w:p>
    <w:p w14:paraId="4076B916" w14:textId="77777777" w:rsidR="00E9253B" w:rsidRDefault="00E925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B085F25" w14:textId="5CEE63C7" w:rsidR="00D277CE" w:rsidRPr="00674E01" w:rsidRDefault="00D277CE">
      <w:pPr>
        <w:rPr>
          <w:rFonts w:ascii="Arial" w:hAnsi="Arial" w:cs="Arial"/>
          <w:b/>
          <w:bCs/>
          <w:sz w:val="20"/>
          <w:szCs w:val="20"/>
        </w:rPr>
      </w:pPr>
      <w:r w:rsidRPr="00674E01">
        <w:rPr>
          <w:rFonts w:ascii="Arial" w:hAnsi="Arial" w:cs="Arial"/>
          <w:b/>
          <w:bCs/>
          <w:sz w:val="20"/>
          <w:szCs w:val="20"/>
        </w:rPr>
        <w:lastRenderedPageBreak/>
        <w:t>Nevýkonné úvěry</w:t>
      </w:r>
      <w:r w:rsidR="00043E6C" w:rsidRPr="00674E01">
        <w:rPr>
          <w:rFonts w:ascii="Arial" w:hAnsi="Arial" w:cs="Arial"/>
          <w:b/>
          <w:bCs/>
          <w:sz w:val="20"/>
          <w:szCs w:val="20"/>
        </w:rPr>
        <w:t xml:space="preserve"> jako podíl v % </w:t>
      </w:r>
      <w:r w:rsidR="00B12809" w:rsidRPr="00674E01">
        <w:rPr>
          <w:rFonts w:ascii="Arial" w:hAnsi="Arial" w:cs="Arial"/>
          <w:b/>
          <w:bCs/>
          <w:sz w:val="20"/>
          <w:szCs w:val="20"/>
        </w:rPr>
        <w:t xml:space="preserve">k </w:t>
      </w:r>
      <w:r w:rsidR="00043E6C" w:rsidRPr="00674E01">
        <w:rPr>
          <w:rFonts w:ascii="Arial" w:hAnsi="Arial" w:cs="Arial"/>
          <w:b/>
          <w:bCs/>
          <w:sz w:val="20"/>
          <w:szCs w:val="20"/>
        </w:rPr>
        <w:t>sumě úvěrů</w:t>
      </w:r>
      <w:r w:rsidRPr="00674E01">
        <w:rPr>
          <w:rFonts w:ascii="Arial" w:hAnsi="Arial" w:cs="Arial"/>
          <w:b/>
          <w:bCs/>
          <w:sz w:val="20"/>
          <w:szCs w:val="20"/>
        </w:rPr>
        <w:t xml:space="preserve"> k 31.1</w:t>
      </w:r>
      <w:r w:rsidR="0071257B" w:rsidRPr="00674E01">
        <w:rPr>
          <w:rFonts w:ascii="Arial" w:hAnsi="Arial" w:cs="Arial"/>
          <w:b/>
          <w:bCs/>
          <w:sz w:val="20"/>
          <w:szCs w:val="20"/>
        </w:rPr>
        <w:t>2</w:t>
      </w:r>
      <w:r w:rsidRPr="00674E01">
        <w:rPr>
          <w:rFonts w:ascii="Arial" w:hAnsi="Arial" w:cs="Arial"/>
          <w:b/>
          <w:bCs/>
          <w:sz w:val="20"/>
          <w:szCs w:val="20"/>
        </w:rPr>
        <w:t xml:space="preserve">.2020 – červeně spotřební </w:t>
      </w:r>
    </w:p>
    <w:p w14:paraId="33CB0273" w14:textId="55050652" w:rsidR="00D277CE" w:rsidRDefault="00043E6C">
      <w:pPr>
        <w:rPr>
          <w:rFonts w:ascii="Arial" w:hAnsi="Arial" w:cs="Arial"/>
          <w:b/>
          <w:bCs/>
          <w:sz w:val="20"/>
          <w:szCs w:val="20"/>
        </w:rPr>
      </w:pPr>
      <w:r w:rsidRPr="00674E01">
        <w:rPr>
          <w:rFonts w:ascii="Arial" w:hAnsi="Arial" w:cs="Arial"/>
          <w:b/>
          <w:bCs/>
          <w:sz w:val="20"/>
          <w:szCs w:val="20"/>
        </w:rPr>
        <w:t xml:space="preserve"> </w:t>
      </w:r>
      <w:r w:rsidR="00B12809" w:rsidRPr="00674E01">
        <w:rPr>
          <w:rFonts w:ascii="Arial" w:hAnsi="Arial" w:cs="Arial"/>
          <w:b/>
          <w:bCs/>
          <w:sz w:val="20"/>
          <w:szCs w:val="20"/>
        </w:rPr>
        <w:t>úvěry</w:t>
      </w:r>
      <w:r w:rsidRPr="00674E01">
        <w:rPr>
          <w:rFonts w:ascii="Arial" w:hAnsi="Arial" w:cs="Arial"/>
          <w:b/>
          <w:bCs/>
          <w:sz w:val="20"/>
          <w:szCs w:val="20"/>
        </w:rPr>
        <w:t xml:space="preserve"> domácností, modře </w:t>
      </w:r>
      <w:r w:rsidR="00D277CE" w:rsidRPr="00674E01">
        <w:rPr>
          <w:rFonts w:ascii="Arial" w:hAnsi="Arial" w:cs="Arial"/>
          <w:b/>
          <w:bCs/>
          <w:sz w:val="20"/>
          <w:szCs w:val="20"/>
        </w:rPr>
        <w:t>nefinanční podniky, žlutě hypoteční úvěry domácností</w:t>
      </w:r>
    </w:p>
    <w:p w14:paraId="3CD05886" w14:textId="77777777" w:rsidR="00A12AB8" w:rsidRPr="00674E01" w:rsidRDefault="00A12AB8">
      <w:pPr>
        <w:rPr>
          <w:rFonts w:ascii="Arial" w:hAnsi="Arial" w:cs="Arial"/>
          <w:b/>
          <w:bCs/>
          <w:sz w:val="20"/>
          <w:szCs w:val="20"/>
        </w:rPr>
      </w:pPr>
    </w:p>
    <w:p w14:paraId="03C6C69D" w14:textId="2B8F60F7" w:rsidR="00D277CE" w:rsidRPr="00674E01" w:rsidRDefault="0071257B">
      <w:pPr>
        <w:rPr>
          <w:rFonts w:ascii="Arial" w:hAnsi="Arial" w:cs="Arial"/>
          <w:sz w:val="20"/>
          <w:szCs w:val="20"/>
        </w:rPr>
      </w:pPr>
      <w:r w:rsidRPr="00674E01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C197F56" wp14:editId="5FF3968B">
            <wp:extent cx="4829607" cy="317182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633" cy="319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C135" w14:textId="6C16E320" w:rsidR="00D308E6" w:rsidRPr="001E1F58" w:rsidRDefault="00D277CE">
      <w:pPr>
        <w:rPr>
          <w:rFonts w:ascii="Arial" w:hAnsi="Arial" w:cs="Arial"/>
          <w:i/>
          <w:iCs/>
          <w:sz w:val="18"/>
          <w:szCs w:val="18"/>
        </w:rPr>
      </w:pPr>
      <w:r w:rsidRPr="001E1F58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="001E1F58">
        <w:rPr>
          <w:rFonts w:ascii="Arial" w:hAnsi="Arial" w:cs="Arial"/>
          <w:i/>
          <w:iCs/>
          <w:sz w:val="18"/>
          <w:szCs w:val="18"/>
        </w:rPr>
        <w:t xml:space="preserve">               </w:t>
      </w:r>
      <w:r w:rsidRPr="001E1F58">
        <w:rPr>
          <w:rFonts w:ascii="Arial" w:hAnsi="Arial" w:cs="Arial"/>
          <w:i/>
          <w:iCs/>
          <w:sz w:val="18"/>
          <w:szCs w:val="18"/>
        </w:rPr>
        <w:t xml:space="preserve">       Zdroj: statistika ČNB</w:t>
      </w:r>
    </w:p>
    <w:p w14:paraId="5CEDB312" w14:textId="2C80E169" w:rsidR="00D277CE" w:rsidRDefault="001E1F58" w:rsidP="00D308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18CB6F" w14:textId="77777777" w:rsidR="00546BA1" w:rsidRDefault="00546BA1" w:rsidP="00D308E6">
      <w:pPr>
        <w:rPr>
          <w:sz w:val="24"/>
          <w:szCs w:val="24"/>
        </w:rPr>
      </w:pPr>
    </w:p>
    <w:p w14:paraId="70A785AA" w14:textId="3775CB96" w:rsidR="00D308E6" w:rsidRDefault="00D308E6" w:rsidP="00D308E6">
      <w:pPr>
        <w:rPr>
          <w:sz w:val="24"/>
          <w:szCs w:val="24"/>
        </w:rPr>
      </w:pPr>
    </w:p>
    <w:p w14:paraId="05ACD31E" w14:textId="433C778C" w:rsidR="00466D73" w:rsidRDefault="00466D73" w:rsidP="00D277CE">
      <w:pPr>
        <w:rPr>
          <w:sz w:val="24"/>
          <w:szCs w:val="24"/>
        </w:rPr>
      </w:pPr>
    </w:p>
    <w:p w14:paraId="01C30BCE" w14:textId="77777777" w:rsidR="00466D73" w:rsidRDefault="00466D73" w:rsidP="00D277CE">
      <w:pPr>
        <w:rPr>
          <w:sz w:val="24"/>
          <w:szCs w:val="24"/>
        </w:rPr>
      </w:pPr>
    </w:p>
    <w:p w14:paraId="79D9EB8A" w14:textId="4BBF9999" w:rsidR="00466D73" w:rsidRDefault="00674E01" w:rsidP="00D277CE">
      <w:pPr>
        <w:rPr>
          <w:sz w:val="24"/>
          <w:szCs w:val="24"/>
        </w:rPr>
      </w:pPr>
      <w:r w:rsidRPr="00674E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686A" wp14:editId="5CD65836">
                <wp:simplePos x="0" y="0"/>
                <wp:positionH relativeFrom="margin">
                  <wp:posOffset>15875</wp:posOffset>
                </wp:positionH>
                <wp:positionV relativeFrom="paragraph">
                  <wp:posOffset>0</wp:posOffset>
                </wp:positionV>
                <wp:extent cx="6574790" cy="1562100"/>
                <wp:effectExtent l="0" t="0" r="0" b="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14CE6" w14:textId="77777777" w:rsidR="00674E01" w:rsidRPr="00BB78FB" w:rsidRDefault="00674E01" w:rsidP="00674E01">
                            <w:pPr>
                              <w:spacing w:after="120"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5C3FF602" w14:textId="77777777" w:rsidR="00674E01" w:rsidRPr="00BB78FB" w:rsidRDefault="00674E01" w:rsidP="00674E0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Vladimír Staňura</w:t>
                            </w: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School</w:t>
                            </w:r>
                            <w:proofErr w:type="spellEnd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CCD9E7E" w14:textId="77777777" w:rsidR="00674E01" w:rsidRPr="00BB78FB" w:rsidRDefault="00674E01" w:rsidP="00674E0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1746139B" w14:textId="77777777" w:rsidR="00674E01" w:rsidRPr="00BB78FB" w:rsidRDefault="00674E01" w:rsidP="00674E0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Vášnivě miluje rodinu, aktivní sport, čtení, cestování, cizí jazyky.</w:t>
                            </w:r>
                          </w:p>
                          <w:p w14:paraId="766ACDE3" w14:textId="77777777" w:rsidR="00674E01" w:rsidRPr="00BB78FB" w:rsidRDefault="00674E01" w:rsidP="00674E01">
                            <w:pPr>
                              <w:spacing w:after="120"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4686A" id="Obdélník 26" o:spid="_x0000_s1026" style="position:absolute;left:0;text-align:left;margin-left:1.25pt;margin-top:0;width:517.7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" fillcolor="#bfbfbf [2412]" stroked="f" strokeweight="1pt">
                <v:textbox inset="3mm,3mm,3mm,3mm">
                  <w:txbxContent>
                    <w:p w14:paraId="37914CE6" w14:textId="77777777" w:rsidR="00674E01" w:rsidRPr="00BB78FB" w:rsidRDefault="00674E01" w:rsidP="00674E01">
                      <w:pPr>
                        <w:spacing w:after="120" w:line="276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5C3FF602" w14:textId="77777777" w:rsidR="00674E01" w:rsidRPr="00BB78FB" w:rsidRDefault="00674E01" w:rsidP="00674E01">
                      <w:pPr>
                        <w:pStyle w:val="Mkatabulky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Vladimír Staňura</w:t>
                      </w: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School</w:t>
                      </w:r>
                      <w:proofErr w:type="spellEnd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CCD9E7E" w14:textId="77777777" w:rsidR="00674E01" w:rsidRPr="00BB78FB" w:rsidRDefault="00674E01" w:rsidP="00674E01">
                      <w:pPr>
                        <w:pStyle w:val="Mkatabulky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1746139B" w14:textId="77777777" w:rsidR="00674E01" w:rsidRPr="00BB78FB" w:rsidRDefault="00674E01" w:rsidP="00674E01">
                      <w:pPr>
                        <w:pStyle w:val="Mkatabulky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Vášnivě miluje rodinu, aktivní sport, čtení, cestování, cizí jazyky.</w:t>
                      </w:r>
                    </w:p>
                    <w:p w14:paraId="766ACDE3" w14:textId="77777777" w:rsidR="00674E01" w:rsidRPr="00BB78FB" w:rsidRDefault="00674E01" w:rsidP="00674E01">
                      <w:pPr>
                        <w:spacing w:after="120" w:line="276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4E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3082E" wp14:editId="5D5D8A27">
                <wp:simplePos x="0" y="0"/>
                <wp:positionH relativeFrom="margin">
                  <wp:posOffset>0</wp:posOffset>
                </wp:positionH>
                <wp:positionV relativeFrom="paragraph">
                  <wp:posOffset>1669415</wp:posOffset>
                </wp:positionV>
                <wp:extent cx="4322445" cy="133731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33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6F5E6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AC458B0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BB78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BB78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3082E" id="Obdélník 199" o:spid="_x0000_s1027" style="position:absolute;left:0;text-align:left;margin-left:0;margin-top:131.45pt;width:340.35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" fillcolor="#bfbfbf [2412]" stroked="f" strokeweight="1pt">
                <v:textbox inset="3mm,3mm,3mm,3mm">
                  <w:txbxContent>
                    <w:p w14:paraId="3C76F5E6" w14:textId="77777777" w:rsidR="00674E01" w:rsidRPr="00BB78FB" w:rsidRDefault="00674E01" w:rsidP="00674E01">
                      <w:pPr>
                        <w:pStyle w:val="Mkatabulky"/>
                        <w:spacing w:line="276" w:lineRule="auto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AC458B0" w14:textId="77777777" w:rsidR="00674E01" w:rsidRPr="00BB78FB" w:rsidRDefault="00674E01" w:rsidP="00674E01">
                      <w:pPr>
                        <w:pStyle w:val="Mkatabulky"/>
                        <w:spacing w:line="276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37</w:t>
                      </w: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BB78F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BB78F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4E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9D1E8" wp14:editId="0A46A606">
                <wp:simplePos x="0" y="0"/>
                <wp:positionH relativeFrom="margin">
                  <wp:posOffset>4381500</wp:posOffset>
                </wp:positionH>
                <wp:positionV relativeFrom="paragraph">
                  <wp:posOffset>1669415</wp:posOffset>
                </wp:positionV>
                <wp:extent cx="2198370" cy="1337310"/>
                <wp:effectExtent l="0" t="0" r="0" b="0"/>
                <wp:wrapNone/>
                <wp:docPr id="27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3731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38DFE" w14:textId="77777777" w:rsidR="00674E01" w:rsidRPr="00BB78FB" w:rsidRDefault="00674E01" w:rsidP="00674E01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16AB109C" w14:textId="77777777" w:rsidR="00674E01" w:rsidRPr="00BB78FB" w:rsidRDefault="00674E01" w:rsidP="00674E01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3BA8E127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8D25CA6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19393116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421CD83B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67A034F6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081C9FEE" w14:textId="77777777" w:rsidR="00674E01" w:rsidRDefault="00674E01" w:rsidP="00674E0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D1E8" id="Obdélník 200" o:spid="_x0000_s1028" style="position:absolute;left:0;text-align:left;margin-left:345pt;margin-top:131.45pt;width:173.1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0C438DFE" w14:textId="77777777" w:rsidR="00674E01" w:rsidRPr="00BB78FB" w:rsidRDefault="00674E01" w:rsidP="00674E01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16AB109C" w14:textId="77777777" w:rsidR="00674E01" w:rsidRPr="00BB78FB" w:rsidRDefault="00674E01" w:rsidP="00674E01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3BA8E127" w14:textId="77777777" w:rsidR="00674E01" w:rsidRPr="00BB78FB" w:rsidRDefault="00674E01" w:rsidP="00674E0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8D25CA6" w14:textId="77777777" w:rsidR="00674E01" w:rsidRPr="00BB78FB" w:rsidRDefault="00674E01" w:rsidP="00674E0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19393116" w14:textId="77777777" w:rsidR="00674E01" w:rsidRPr="00BB78FB" w:rsidRDefault="00674E01" w:rsidP="00674E0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421CD83B" w14:textId="77777777" w:rsidR="00674E01" w:rsidRPr="00BB78FB" w:rsidRDefault="00674E01" w:rsidP="00674E0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67A034F6" w14:textId="77777777" w:rsidR="00674E01" w:rsidRPr="00BB78FB" w:rsidRDefault="00674E01" w:rsidP="00674E0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081C9FEE" w14:textId="77777777" w:rsidR="00674E01" w:rsidRDefault="00674E01" w:rsidP="00674E0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6D73" w:rsidSect="00674E01">
      <w:headerReference w:type="default" r:id="rId7"/>
      <w:footerReference w:type="default" r:id="rId8"/>
      <w:pgSz w:w="11906" w:h="16838"/>
      <w:pgMar w:top="226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477E" w14:textId="77777777" w:rsidR="00176729" w:rsidRDefault="00176729" w:rsidP="00674E01">
      <w:pPr>
        <w:spacing w:line="240" w:lineRule="auto"/>
      </w:pPr>
      <w:r>
        <w:separator/>
      </w:r>
    </w:p>
  </w:endnote>
  <w:endnote w:type="continuationSeparator" w:id="0">
    <w:p w14:paraId="49A00275" w14:textId="77777777" w:rsidR="00176729" w:rsidRDefault="00176729" w:rsidP="0067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49008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51D1D4A" w14:textId="77777777" w:rsidR="00674E01" w:rsidRPr="00A2641E" w:rsidRDefault="00674E01" w:rsidP="00674E01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A2641E">
          <w:rPr>
            <w:rFonts w:ascii="Arial" w:hAnsi="Arial" w:cs="Arial"/>
            <w:sz w:val="16"/>
            <w:szCs w:val="16"/>
          </w:rPr>
          <w:fldChar w:fldCharType="begin"/>
        </w:r>
        <w:r w:rsidRPr="00A2641E">
          <w:rPr>
            <w:rFonts w:ascii="Arial" w:hAnsi="Arial" w:cs="Arial"/>
            <w:sz w:val="16"/>
            <w:szCs w:val="16"/>
          </w:rPr>
          <w:instrText>PAGE   \* MERGEFORMAT</w:instrText>
        </w:r>
        <w:r w:rsidRPr="00A2641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A2641E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/2</w:t>
        </w:r>
      </w:p>
    </w:sdtContent>
  </w:sdt>
  <w:p w14:paraId="28F99213" w14:textId="77777777" w:rsidR="00674E01" w:rsidRPr="0010231A" w:rsidRDefault="00674E01" w:rsidP="00674E01">
    <w:pPr>
      <w:pStyle w:val="Zpat"/>
      <w:rPr>
        <w:rFonts w:ascii="Arial" w:hAnsi="Arial" w:cs="Arial"/>
        <w:sz w:val="16"/>
        <w:szCs w:val="16"/>
      </w:rPr>
    </w:pPr>
  </w:p>
  <w:p w14:paraId="28B26335" w14:textId="77777777" w:rsidR="00674E01" w:rsidRDefault="00674E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8E6D" w14:textId="77777777" w:rsidR="00176729" w:rsidRDefault="00176729" w:rsidP="00674E01">
      <w:pPr>
        <w:spacing w:line="240" w:lineRule="auto"/>
      </w:pPr>
      <w:r>
        <w:separator/>
      </w:r>
    </w:p>
  </w:footnote>
  <w:footnote w:type="continuationSeparator" w:id="0">
    <w:p w14:paraId="0F1E37E4" w14:textId="77777777" w:rsidR="00176729" w:rsidRDefault="00176729" w:rsidP="00674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4996" w14:textId="421495FE" w:rsidR="00674E01" w:rsidRDefault="00674E01" w:rsidP="00674E01">
    <w:pPr>
      <w:pStyle w:val="Zhlav"/>
    </w:pP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6347B6" wp14:editId="1D42B12A">
              <wp:simplePos x="0" y="0"/>
              <wp:positionH relativeFrom="margin">
                <wp:posOffset>5212715</wp:posOffset>
              </wp:positionH>
              <wp:positionV relativeFrom="paragraph">
                <wp:posOffset>76200</wp:posOffset>
              </wp:positionV>
              <wp:extent cx="1239520" cy="1404620"/>
              <wp:effectExtent l="0" t="0" r="0" b="0"/>
              <wp:wrapNone/>
              <wp:docPr id="2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447E1" w14:textId="77777777" w:rsidR="00674E01" w:rsidRPr="006F3ED1" w:rsidRDefault="00674E01" w:rsidP="00674E0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</w:pPr>
                          <w:r w:rsidRPr="006F3ED1"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  <w:t>KOMENTÁŘ</w:t>
                          </w:r>
                        </w:p>
                        <w:p w14:paraId="5DA6778D" w14:textId="685BE503" w:rsidR="00674E01" w:rsidRPr="006F3ED1" w:rsidRDefault="00674E01" w:rsidP="00674E0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0</w:t>
                          </w:r>
                          <w:r w:rsidR="00951F60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2</w:t>
                          </w:r>
                          <w:r w:rsidRPr="006F3ED1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02</w:t>
                          </w:r>
                          <w:r w:rsidRPr="006F3ED1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. 202</w:t>
                          </w: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6347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0.45pt;margin-top:6pt;width:97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" filled="f" stroked="f">
              <v:textbox style="mso-fit-shape-to-text:t">
                <w:txbxContent>
                  <w:p w14:paraId="71E447E1" w14:textId="77777777" w:rsidR="00674E01" w:rsidRPr="006F3ED1" w:rsidRDefault="00674E01" w:rsidP="00674E0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</w:pPr>
                    <w:r w:rsidRPr="006F3ED1"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  <w:t>KOMENTÁŘ</w:t>
                    </w:r>
                  </w:p>
                  <w:p w14:paraId="5DA6778D" w14:textId="685BE503" w:rsidR="00674E01" w:rsidRPr="006F3ED1" w:rsidRDefault="00674E01" w:rsidP="00674E0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0</w:t>
                    </w:r>
                    <w:r w:rsidR="00951F60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2</w:t>
                    </w:r>
                    <w:r w:rsidRPr="006F3ED1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2</w:t>
                    </w:r>
                    <w:r w:rsidRPr="006F3ED1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. 202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253DD60" wp14:editId="4E8F03D9">
          <wp:simplePos x="0" y="0"/>
          <wp:positionH relativeFrom="page">
            <wp:posOffset>31115</wp:posOffset>
          </wp:positionH>
          <wp:positionV relativeFrom="paragraph">
            <wp:posOffset>-533400</wp:posOffset>
          </wp:positionV>
          <wp:extent cx="3196206" cy="1612900"/>
          <wp:effectExtent l="0" t="0" r="4445" b="635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75039F" w14:textId="77777777" w:rsidR="00674E01" w:rsidRPr="00674E01" w:rsidRDefault="00674E01" w:rsidP="00674E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3C"/>
    <w:rsid w:val="00043E6C"/>
    <w:rsid w:val="0009212C"/>
    <w:rsid w:val="000A2A48"/>
    <w:rsid w:val="000D08EA"/>
    <w:rsid w:val="00176729"/>
    <w:rsid w:val="001E1F58"/>
    <w:rsid w:val="002B725A"/>
    <w:rsid w:val="003305E2"/>
    <w:rsid w:val="003A5533"/>
    <w:rsid w:val="003B6CEE"/>
    <w:rsid w:val="00444856"/>
    <w:rsid w:val="00466D73"/>
    <w:rsid w:val="00484E8B"/>
    <w:rsid w:val="004A4438"/>
    <w:rsid w:val="004F4B32"/>
    <w:rsid w:val="00546BA1"/>
    <w:rsid w:val="005C616D"/>
    <w:rsid w:val="00641913"/>
    <w:rsid w:val="00674E01"/>
    <w:rsid w:val="006B7A07"/>
    <w:rsid w:val="006F1AB3"/>
    <w:rsid w:val="0071257B"/>
    <w:rsid w:val="00754F29"/>
    <w:rsid w:val="0078283C"/>
    <w:rsid w:val="007C4C6A"/>
    <w:rsid w:val="00826B36"/>
    <w:rsid w:val="00847301"/>
    <w:rsid w:val="00951F60"/>
    <w:rsid w:val="009D79E2"/>
    <w:rsid w:val="00A12AB8"/>
    <w:rsid w:val="00A5422A"/>
    <w:rsid w:val="00AD22C3"/>
    <w:rsid w:val="00B12809"/>
    <w:rsid w:val="00B87FBC"/>
    <w:rsid w:val="00C2047C"/>
    <w:rsid w:val="00C50E35"/>
    <w:rsid w:val="00C94F42"/>
    <w:rsid w:val="00CE15E9"/>
    <w:rsid w:val="00CF709B"/>
    <w:rsid w:val="00D277CE"/>
    <w:rsid w:val="00D308E6"/>
    <w:rsid w:val="00D40229"/>
    <w:rsid w:val="00D53F5D"/>
    <w:rsid w:val="00DB2CEE"/>
    <w:rsid w:val="00E37E02"/>
    <w:rsid w:val="00E9253B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3CE8"/>
  <w15:chartTrackingRefBased/>
  <w15:docId w15:val="{F353416B-212F-41A9-BE4A-6D9C560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E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E01"/>
  </w:style>
  <w:style w:type="paragraph" w:styleId="Zpat">
    <w:name w:val="footer"/>
    <w:basedOn w:val="Normln"/>
    <w:link w:val="ZpatChar"/>
    <w:uiPriority w:val="99"/>
    <w:unhideWhenUsed/>
    <w:rsid w:val="00674E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E01"/>
  </w:style>
  <w:style w:type="table" w:styleId="Mkatabulky">
    <w:name w:val="Table Grid"/>
    <w:basedOn w:val="Normlntabulka"/>
    <w:uiPriority w:val="39"/>
    <w:rsid w:val="00A542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Staňura</dc:creator>
  <cp:keywords/>
  <dc:description/>
  <cp:lastModifiedBy>Andrea Trudičová</cp:lastModifiedBy>
  <cp:revision>11</cp:revision>
  <dcterms:created xsi:type="dcterms:W3CDTF">2021-01-30T14:03:00Z</dcterms:created>
  <dcterms:modified xsi:type="dcterms:W3CDTF">2021-02-02T10:00:00Z</dcterms:modified>
</cp:coreProperties>
</file>