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47BB685F">
                <wp:simplePos x="0" y="0"/>
                <wp:positionH relativeFrom="margin">
                  <wp:posOffset>5174615</wp:posOffset>
                </wp:positionH>
                <wp:positionV relativeFrom="paragraph">
                  <wp:posOffset>-844550</wp:posOffset>
                </wp:positionV>
                <wp:extent cx="13157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1E7E888" w:rsidR="00BF6F8D" w:rsidRPr="00C467C4" w:rsidRDefault="00942F44" w:rsidP="00C467C4">
                            <w:pPr>
                              <w:pStyle w:val="Odstavecseseznamem"/>
                              <w:spacing w:line="276" w:lineRule="auto"/>
                              <w:ind w:left="912"/>
                              <w:rPr>
                                <w:b/>
                                <w:color w:val="13576B"/>
                              </w:rPr>
                            </w:pPr>
                            <w:r w:rsidRPr="00C467C4">
                              <w:rPr>
                                <w:color w:val="BFBFBF" w:themeColor="background1" w:themeShade="BF"/>
                              </w:rPr>
                              <w:t>1.</w:t>
                            </w:r>
                            <w:r w:rsidR="00C467C4">
                              <w:rPr>
                                <w:color w:val="BFBFBF" w:themeColor="background1" w:themeShade="BF"/>
                              </w:rPr>
                              <w:t xml:space="preserve"> 1. </w:t>
                            </w:r>
                            <w:r w:rsidRPr="00C467C4">
                              <w:rPr>
                                <w:color w:val="BFBFBF" w:themeColor="background1" w:themeShade="BF"/>
                              </w:rPr>
                              <w:t>202</w:t>
                            </w:r>
                            <w:r w:rsidR="00C467C4" w:rsidRPr="00C467C4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7.45pt;margin-top:-66.5pt;width:103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1E7E888" w:rsidR="00BF6F8D" w:rsidRPr="00C467C4" w:rsidRDefault="00942F44" w:rsidP="00C467C4">
                      <w:pPr>
                        <w:pStyle w:val="Odstavecseseznamem"/>
                        <w:spacing w:line="276" w:lineRule="auto"/>
                        <w:ind w:left="912"/>
                        <w:rPr>
                          <w:b/>
                          <w:color w:val="13576B"/>
                        </w:rPr>
                      </w:pPr>
                      <w:r w:rsidRPr="00C467C4">
                        <w:rPr>
                          <w:color w:val="BFBFBF" w:themeColor="background1" w:themeShade="BF"/>
                        </w:rPr>
                        <w:t>1.</w:t>
                      </w:r>
                      <w:r w:rsidR="00C467C4">
                        <w:rPr>
                          <w:color w:val="BFBFBF" w:themeColor="background1" w:themeShade="BF"/>
                        </w:rPr>
                        <w:t xml:space="preserve"> 1. </w:t>
                      </w:r>
                      <w:r w:rsidRPr="00C467C4">
                        <w:rPr>
                          <w:color w:val="BFBFBF" w:themeColor="background1" w:themeShade="BF"/>
                        </w:rPr>
                        <w:t>202</w:t>
                      </w:r>
                      <w:r w:rsidR="00C467C4" w:rsidRPr="00C467C4">
                        <w:rPr>
                          <w:color w:val="BFBFBF" w:themeColor="background1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293F1A5F" w14:textId="1C70BA30" w:rsidR="00805D3A" w:rsidRDefault="00942F44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cs="Arial"/>
          <w:bCs/>
          <w:color w:val="007E79"/>
          <w:sz w:val="24"/>
          <w:szCs w:val="24"/>
        </w:rPr>
        <w:t>Listopad 2020: Začne-li zima s adventem, potrvá 10 týdnů.</w:t>
      </w:r>
    </w:p>
    <w:p w14:paraId="3F52D22B" w14:textId="4B86A501" w:rsidR="00C467C4" w:rsidRDefault="00C467C4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4A6D8F25">
                <wp:simplePos x="0" y="0"/>
                <wp:positionH relativeFrom="margin">
                  <wp:posOffset>635</wp:posOffset>
                </wp:positionH>
                <wp:positionV relativeFrom="paragraph">
                  <wp:posOffset>64135</wp:posOffset>
                </wp:positionV>
                <wp:extent cx="6467575" cy="3627120"/>
                <wp:effectExtent l="0" t="0" r="9525" b="0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575" cy="362712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32638B3D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</w:t>
                            </w:r>
                            <w:r w:rsidR="001E1E77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(ČNB)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29CC39B8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ndexRPSN </w:t>
                            </w:r>
                            <w:r w:rsidR="00C467C4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ČBA</w:t>
                            </w:r>
                          </w:p>
                          <w:p w14:paraId="28C2259D" w14:textId="14823688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ČBA ve své Statistice zavádí tzv. IndexRPSN</w:t>
                            </w:r>
                            <w:r w:rsidR="00C467C4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C467C4" w:rsidRPr="00C467C4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.05pt;margin-top:5.05pt;width:509.25pt;height:285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" fillcolor="#007e79" stroked="f" strokeweight="1pt">
                <v:fill opacity="56283f"/>
                <v:textbox inset="3mm,3mm,3mm,3mm">
                  <w:txbxContent>
                    <w:p w14:paraId="38A0ED60" w14:textId="32638B3D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</w:t>
                      </w:r>
                      <w:r w:rsidR="001E1E77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(ČNB)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29CC39B8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ndexRPSN</w:t>
                      </w:r>
                      <w:proofErr w:type="spellEnd"/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C467C4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ČBA</w:t>
                      </w:r>
                    </w:p>
                    <w:p w14:paraId="28C2259D" w14:textId="14823688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ČBA ve své Statistice zavádí tzv. </w:t>
                      </w: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IndexRPSN</w:t>
                      </w:r>
                      <w:proofErr w:type="spellEnd"/>
                      <w:r w:rsidR="00C467C4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C467C4" w:rsidRPr="00C467C4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www.cbaonline.cz</w:t>
                        </w:r>
                      </w:hyperlink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AB3C9" w14:textId="596EF87E" w:rsidR="00CF4597" w:rsidRDefault="00CF4597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</w:p>
    <w:p w14:paraId="05284F5D" w14:textId="77777777" w:rsidR="00CF4597" w:rsidRDefault="00CF4597" w:rsidP="00CF4597">
      <w:pPr>
        <w:spacing w:line="276" w:lineRule="auto"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614499F2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104D4E14" w14:textId="77777777" w:rsidR="00C467C4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00B91841" w14:textId="45E16530" w:rsidR="00C467C4" w:rsidRPr="00353644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IndexRPSN</w:t>
      </w:r>
      <w:r>
        <w:rPr>
          <w:rFonts w:cs="Arial"/>
          <w:b/>
          <w:color w:val="007E79"/>
          <w:sz w:val="24"/>
          <w:szCs w:val="24"/>
        </w:rPr>
        <w:t xml:space="preserve"> ČBA</w:t>
      </w:r>
    </w:p>
    <w:p w14:paraId="57E437EC" w14:textId="77777777" w:rsidR="00C467C4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IndexRPSN</w:t>
      </w:r>
      <w:r w:rsidRPr="00C57652">
        <w:rPr>
          <w:rFonts w:cs="Arial"/>
          <w:sz w:val="20"/>
        </w:rPr>
        <w:t xml:space="preserve"> </w:t>
      </w:r>
      <w:r w:rsidR="001E1E77">
        <w:rPr>
          <w:rFonts w:cs="Arial"/>
          <w:sz w:val="20"/>
        </w:rPr>
        <w:t xml:space="preserve">ČBA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</w:t>
      </w:r>
      <w:r w:rsidR="001E1E77" w:rsidRPr="00353644">
        <w:rPr>
          <w:rFonts w:cs="Arial"/>
          <w:sz w:val="20"/>
        </w:rPr>
        <w:t>b</w:t>
      </w:r>
      <w:r w:rsidR="001E1E77">
        <w:rPr>
          <w:rFonts w:cs="Arial"/>
          <w:sz w:val="20"/>
        </w:rPr>
        <w:t>yl</w:t>
      </w:r>
      <w:r w:rsidR="001E1E77" w:rsidRPr="00353644">
        <w:rPr>
          <w:rFonts w:cs="Arial"/>
          <w:sz w:val="20"/>
        </w:rPr>
        <w:t xml:space="preserve"> za </w:t>
      </w:r>
      <w:r w:rsidR="001E1E77">
        <w:rPr>
          <w:rFonts w:cs="Arial"/>
          <w:sz w:val="20"/>
        </w:rPr>
        <w:t>listopad</w:t>
      </w:r>
      <w:r w:rsidR="001E1E77" w:rsidRPr="00353644">
        <w:rPr>
          <w:rFonts w:cs="Arial"/>
          <w:sz w:val="20"/>
        </w:rPr>
        <w:t xml:space="preserve"> </w:t>
      </w:r>
      <w:r w:rsidRPr="00353644">
        <w:rPr>
          <w:rFonts w:cs="Arial"/>
          <w:sz w:val="20"/>
        </w:rPr>
        <w:t>podle statistiky ČNB u hypotečních úvěrů 2,</w:t>
      </w:r>
      <w:r>
        <w:rPr>
          <w:rFonts w:cs="Arial"/>
          <w:sz w:val="20"/>
        </w:rPr>
        <w:t>19</w:t>
      </w:r>
      <w:r w:rsidRPr="00353644">
        <w:rPr>
          <w:rFonts w:cs="Arial"/>
          <w:sz w:val="20"/>
        </w:rPr>
        <w:t xml:space="preserve"> %. Oproti </w:t>
      </w:r>
      <w:r>
        <w:rPr>
          <w:rFonts w:cs="Arial"/>
          <w:sz w:val="20"/>
        </w:rPr>
        <w:t xml:space="preserve">říjnu </w:t>
      </w:r>
      <w:r w:rsidRPr="00353644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průměrná RPSN o 0,</w:t>
      </w:r>
      <w:r>
        <w:rPr>
          <w:rFonts w:cs="Arial"/>
          <w:sz w:val="20"/>
        </w:rPr>
        <w:t>05</w:t>
      </w:r>
      <w:r w:rsidRPr="00353644">
        <w:rPr>
          <w:rFonts w:cs="Arial"/>
          <w:sz w:val="20"/>
        </w:rPr>
        <w:t xml:space="preserve"> procentního bodu. V </w:t>
      </w:r>
      <w:r>
        <w:rPr>
          <w:rFonts w:cs="Arial"/>
          <w:sz w:val="20"/>
        </w:rPr>
        <w:t>listopadu</w:t>
      </w:r>
      <w:r w:rsidRPr="00353644">
        <w:rPr>
          <w:rFonts w:cs="Arial"/>
          <w:sz w:val="20"/>
        </w:rPr>
        <w:t xml:space="preserve"> 2019 byla</w:t>
      </w:r>
      <w:r w:rsidR="001E1E77">
        <w:rPr>
          <w:rFonts w:cs="Arial"/>
          <w:sz w:val="20"/>
        </w:rPr>
        <w:t xml:space="preserve"> sazba na úrovni</w:t>
      </w:r>
      <w:r w:rsidRPr="00353644">
        <w:rPr>
          <w:rFonts w:cs="Arial"/>
          <w:sz w:val="20"/>
        </w:rPr>
        <w:t xml:space="preserve"> 2,</w:t>
      </w:r>
      <w:r>
        <w:rPr>
          <w:rFonts w:cs="Arial"/>
          <w:sz w:val="20"/>
        </w:rPr>
        <w:t>53</w:t>
      </w:r>
      <w:r w:rsidRPr="00353644">
        <w:rPr>
          <w:rFonts w:cs="Arial"/>
          <w:sz w:val="20"/>
        </w:rPr>
        <w:t xml:space="preserve"> %, tudíž v </w:t>
      </w:r>
      <w:r>
        <w:rPr>
          <w:rFonts w:cs="Arial"/>
          <w:sz w:val="20"/>
        </w:rPr>
        <w:t>listopadu</w:t>
      </w:r>
      <w:r w:rsidRPr="00353644">
        <w:rPr>
          <w:rFonts w:cs="Arial"/>
          <w:sz w:val="20"/>
        </w:rPr>
        <w:t xml:space="preserve"> 2020 došlo k</w:t>
      </w:r>
      <w:r w:rsidR="001E1E77">
        <w:rPr>
          <w:rFonts w:cs="Arial"/>
          <w:sz w:val="20"/>
        </w:rPr>
        <w:t> meziročnímu poklesu</w:t>
      </w:r>
      <w:r w:rsidRPr="00353644">
        <w:rPr>
          <w:rFonts w:cs="Arial"/>
          <w:sz w:val="20"/>
        </w:rPr>
        <w:t xml:space="preserve"> o 0,</w:t>
      </w:r>
      <w:r>
        <w:rPr>
          <w:rFonts w:cs="Arial"/>
          <w:sz w:val="20"/>
        </w:rPr>
        <w:t>34</w:t>
      </w:r>
      <w:r w:rsidRPr="00353644">
        <w:rPr>
          <w:rFonts w:cs="Arial"/>
          <w:sz w:val="20"/>
        </w:rPr>
        <w:t xml:space="preserve"> procentního bodu. </w:t>
      </w:r>
      <w:r>
        <w:rPr>
          <w:rFonts w:cs="Arial"/>
          <w:sz w:val="20"/>
        </w:rPr>
        <w:t xml:space="preserve">To u průměrné hypotéky </w:t>
      </w:r>
      <w:r w:rsidR="001E1E77">
        <w:rPr>
          <w:rFonts w:cs="Arial"/>
          <w:sz w:val="20"/>
        </w:rPr>
        <w:t xml:space="preserve">představuje snížení měsíční splátky </w:t>
      </w:r>
      <w:r>
        <w:rPr>
          <w:rFonts w:cs="Arial"/>
          <w:sz w:val="20"/>
        </w:rPr>
        <w:t>o více než 800 Kč.</w:t>
      </w:r>
    </w:p>
    <w:p w14:paraId="69424F6B" w14:textId="604C8F29" w:rsidR="00C467C4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2FEDBCC0" w14:textId="2CDB0D2B" w:rsidR="00C467C4" w:rsidRPr="00284FF5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b/>
          <w:bCs/>
          <w:szCs w:val="18"/>
        </w:rPr>
      </w:pPr>
      <w:r>
        <w:rPr>
          <w:rFonts w:cs="Arial"/>
          <w:sz w:val="20"/>
        </w:rPr>
        <w:t xml:space="preserve">         </w:t>
      </w:r>
      <w:r>
        <w:rPr>
          <w:rFonts w:cs="Arial"/>
          <w:b/>
          <w:bCs/>
          <w:szCs w:val="18"/>
        </w:rPr>
        <w:t>RPSN (modře) a úrokové sazby (červeně) hypotečních úvěrů</w:t>
      </w:r>
    </w:p>
    <w:p w14:paraId="4E6ED569" w14:textId="59E6CFB1" w:rsidR="00C467C4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0739791" wp14:editId="0A21C674">
            <wp:extent cx="3739515" cy="2512542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8"/>
                    <a:stretch/>
                  </pic:blipFill>
                  <pic:spPr bwMode="auto">
                    <a:xfrm>
                      <a:off x="0" y="0"/>
                      <a:ext cx="3759579" cy="25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DF7D0" w14:textId="6FFEE73F" w:rsidR="00C467C4" w:rsidRPr="00284FF5" w:rsidRDefault="00C467C4" w:rsidP="00C467C4">
      <w:pPr>
        <w:tabs>
          <w:tab w:val="left" w:pos="3660"/>
        </w:tabs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 w:val="20"/>
        </w:rPr>
        <w:t xml:space="preserve">                                                                      </w:t>
      </w:r>
      <w:r>
        <w:rPr>
          <w:rFonts w:cs="Arial"/>
          <w:szCs w:val="18"/>
        </w:rPr>
        <w:t>(Zdroj: statistika ČNB)</w:t>
      </w:r>
    </w:p>
    <w:p w14:paraId="061891CD" w14:textId="77777777" w:rsidR="00C467C4" w:rsidRPr="00284FF5" w:rsidRDefault="00C467C4" w:rsidP="00C467C4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r>
        <w:rPr>
          <w:sz w:val="20"/>
        </w:rPr>
        <w:t xml:space="preserve">   </w:t>
      </w:r>
      <w:r w:rsidRPr="00424314">
        <w:rPr>
          <w:b/>
          <w:bCs/>
          <w:szCs w:val="18"/>
        </w:rPr>
        <w:t xml:space="preserve">      </w:t>
      </w:r>
    </w:p>
    <w:p w14:paraId="779E1187" w14:textId="77777777" w:rsidR="00C467C4" w:rsidRDefault="00C467C4" w:rsidP="00C467C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lastRenderedPageBreak/>
        <w:t>Vladimír Staňura, hlavní poradce ČBA</w:t>
      </w:r>
      <w:r w:rsidRPr="00D40DFF">
        <w:rPr>
          <w:sz w:val="20"/>
        </w:rPr>
        <w:t>:</w:t>
      </w:r>
    </w:p>
    <w:p w14:paraId="061360C2" w14:textId="19A8365F" w:rsidR="00C467C4" w:rsidRDefault="00C467C4" w:rsidP="00C467C4">
      <w:pPr>
        <w:rPr>
          <w:i/>
          <w:iCs/>
          <w:sz w:val="20"/>
        </w:rPr>
      </w:pPr>
      <w:r>
        <w:rPr>
          <w:i/>
          <w:iCs/>
          <w:sz w:val="20"/>
        </w:rPr>
        <w:t xml:space="preserve">RPSN i úrokové sazby jsou velmi nízko a trh je blízko svému „dnu“. Tedy spíš už na dně je. Pár měsíců se na této úrovni ještě udrží, protože banky se předhánějí ve svých nabídkách, kdo </w:t>
      </w:r>
      <w:r w:rsidR="001E0926">
        <w:rPr>
          <w:i/>
          <w:iCs/>
          <w:sz w:val="20"/>
        </w:rPr>
        <w:t>nabídne</w:t>
      </w:r>
      <w:r>
        <w:rPr>
          <w:i/>
          <w:iCs/>
          <w:sz w:val="20"/>
        </w:rPr>
        <w:t xml:space="preserve"> výhodnější cenu (rozuměj nižší úrokovou sazbu). To, že zuří konkurenční boj mezi bankami, je skvělá zpráva pro spotřebitele. Čím dřív se situace v ekonomice umoudří a věci se budou vracet ke svému normálu, tím dřív se trend obrátí a RPSN i úrokové sazby hypotečních úvěrů budou pomalu stoupat vzhůru. Teď si to žádná banka nedovolí, protože po dramatickém propadu výnosů i zisků v</w:t>
      </w:r>
      <w:r w:rsidR="00601C7D">
        <w:rPr>
          <w:i/>
          <w:iCs/>
          <w:sz w:val="20"/>
        </w:rPr>
        <w:t> </w:t>
      </w:r>
      <w:r>
        <w:rPr>
          <w:i/>
          <w:iCs/>
          <w:sz w:val="20"/>
        </w:rPr>
        <w:t>roce</w:t>
      </w:r>
      <w:r w:rsidR="00601C7D">
        <w:rPr>
          <w:i/>
          <w:iCs/>
          <w:sz w:val="20"/>
        </w:rPr>
        <w:t xml:space="preserve"> 2020</w:t>
      </w:r>
      <w:r>
        <w:rPr>
          <w:i/>
          <w:iCs/>
          <w:sz w:val="20"/>
        </w:rPr>
        <w:t xml:space="preserve"> potřebují banky získávat jakýkoliv rozumný obchod. Ale čas přijde.</w:t>
      </w:r>
    </w:p>
    <w:p w14:paraId="60F5F26F" w14:textId="77777777" w:rsidR="00C467C4" w:rsidRDefault="00C467C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02883C4B" w14:textId="22639272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05A41362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27A6A684" w14:textId="42013AC9" w:rsidR="00E56F01" w:rsidRPr="007B7C9E" w:rsidRDefault="002F1106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N</w:t>
      </w:r>
      <w:r w:rsidR="007B7C9E" w:rsidRPr="007B7C9E">
        <w:rPr>
          <w:sz w:val="20"/>
        </w:rPr>
        <w:t xml:space="preserve">ové hypoteční úvěry na bydlení od bank a stavebních spořitelen dosáhly v </w:t>
      </w:r>
      <w:r w:rsidR="008040E4">
        <w:rPr>
          <w:sz w:val="20"/>
        </w:rPr>
        <w:t>listopadu</w:t>
      </w:r>
      <w:r w:rsidR="007B7C9E" w:rsidRPr="007B7C9E">
        <w:rPr>
          <w:sz w:val="20"/>
        </w:rPr>
        <w:t xml:space="preserve"> </w:t>
      </w:r>
      <w:r w:rsidR="005F75AC">
        <w:rPr>
          <w:sz w:val="20"/>
        </w:rPr>
        <w:t xml:space="preserve">2020 </w:t>
      </w:r>
      <w:r w:rsidR="007B7C9E" w:rsidRPr="007B7C9E">
        <w:rPr>
          <w:sz w:val="20"/>
        </w:rPr>
        <w:t xml:space="preserve">celkového objemu </w:t>
      </w:r>
      <w:r w:rsidR="00777D68">
        <w:rPr>
          <w:sz w:val="20"/>
        </w:rPr>
        <w:t>2</w:t>
      </w:r>
      <w:r w:rsidR="00764EEE">
        <w:rPr>
          <w:sz w:val="20"/>
        </w:rPr>
        <w:t xml:space="preserve">2,1 </w:t>
      </w:r>
      <w:r w:rsidR="007B7C9E" w:rsidRPr="007B7C9E">
        <w:rPr>
          <w:sz w:val="20"/>
        </w:rPr>
        <w:t xml:space="preserve">mld. </w:t>
      </w:r>
      <w:r w:rsidR="001E1E77">
        <w:rPr>
          <w:sz w:val="20"/>
        </w:rPr>
        <w:t>korun</w:t>
      </w:r>
      <w:r w:rsidR="007B7C9E" w:rsidRPr="007B7C9E">
        <w:rPr>
          <w:sz w:val="20"/>
        </w:rPr>
        <w:t xml:space="preserve">. </w:t>
      </w:r>
      <w:r w:rsidR="00764EEE">
        <w:rPr>
          <w:sz w:val="20"/>
        </w:rPr>
        <w:t>Je to</w:t>
      </w:r>
      <w:r w:rsidR="007B7C9E" w:rsidRPr="007B7C9E">
        <w:rPr>
          <w:sz w:val="20"/>
        </w:rPr>
        <w:t xml:space="preserve"> </w:t>
      </w:r>
      <w:r w:rsidR="004821B3">
        <w:rPr>
          <w:sz w:val="20"/>
        </w:rPr>
        <w:t xml:space="preserve">o </w:t>
      </w:r>
      <w:r w:rsidR="00651CEC">
        <w:rPr>
          <w:sz w:val="20"/>
        </w:rPr>
        <w:t>1,</w:t>
      </w:r>
      <w:r w:rsidR="00764EEE">
        <w:rPr>
          <w:sz w:val="20"/>
        </w:rPr>
        <w:t>4</w:t>
      </w:r>
      <w:r w:rsidR="004821B3">
        <w:rPr>
          <w:sz w:val="20"/>
        </w:rPr>
        <w:t xml:space="preserve"> mld. </w:t>
      </w:r>
      <w:r w:rsidR="001E1E77">
        <w:rPr>
          <w:sz w:val="20"/>
        </w:rPr>
        <w:t>korun</w:t>
      </w:r>
      <w:r w:rsidR="004821B3">
        <w:rPr>
          <w:sz w:val="20"/>
        </w:rPr>
        <w:t xml:space="preserve"> </w:t>
      </w:r>
      <w:r w:rsidR="001E1E77">
        <w:rPr>
          <w:sz w:val="20"/>
        </w:rPr>
        <w:t>(</w:t>
      </w:r>
      <w:r w:rsidR="004821B3">
        <w:rPr>
          <w:sz w:val="20"/>
        </w:rPr>
        <w:t xml:space="preserve">tj. </w:t>
      </w:r>
      <w:r w:rsidR="00651CEC">
        <w:rPr>
          <w:sz w:val="20"/>
        </w:rPr>
        <w:t xml:space="preserve">o </w:t>
      </w:r>
      <w:r w:rsidR="00764EEE">
        <w:rPr>
          <w:sz w:val="20"/>
        </w:rPr>
        <w:t>6,8</w:t>
      </w:r>
      <w:r w:rsidR="00651CEC">
        <w:rPr>
          <w:sz w:val="20"/>
        </w:rPr>
        <w:t xml:space="preserve"> %</w:t>
      </w:r>
      <w:r w:rsidR="001E1E77">
        <w:rPr>
          <w:sz w:val="20"/>
        </w:rPr>
        <w:t>)</w:t>
      </w:r>
      <w:r w:rsidR="00651CEC">
        <w:rPr>
          <w:sz w:val="20"/>
        </w:rPr>
        <w:t xml:space="preserve"> více než v</w:t>
      </w:r>
      <w:r w:rsidR="001E1E77">
        <w:rPr>
          <w:sz w:val="20"/>
        </w:rPr>
        <w:t> </w:t>
      </w:r>
      <w:r w:rsidR="00FF4E93">
        <w:rPr>
          <w:sz w:val="20"/>
        </w:rPr>
        <w:t>říjnu</w:t>
      </w:r>
      <w:r w:rsidR="00830A58" w:rsidRPr="001E1E77">
        <w:rPr>
          <w:color w:val="FF0000"/>
          <w:sz w:val="20"/>
        </w:rPr>
        <w:t xml:space="preserve"> </w:t>
      </w:r>
      <w:r w:rsidR="00830A58">
        <w:rPr>
          <w:sz w:val="20"/>
        </w:rPr>
        <w:t>2020</w:t>
      </w:r>
      <w:r w:rsidR="004821B3">
        <w:rPr>
          <w:sz w:val="20"/>
        </w:rPr>
        <w:t xml:space="preserve">. </w:t>
      </w:r>
      <w:r w:rsidR="00764EEE">
        <w:rPr>
          <w:sz w:val="20"/>
        </w:rPr>
        <w:t>A zároveň</w:t>
      </w:r>
      <w:r w:rsidR="00651CEC">
        <w:rPr>
          <w:sz w:val="20"/>
        </w:rPr>
        <w:t xml:space="preserve"> o </w:t>
      </w:r>
      <w:r w:rsidR="00764EEE">
        <w:rPr>
          <w:sz w:val="20"/>
        </w:rPr>
        <w:t>6</w:t>
      </w:r>
      <w:r w:rsidR="00651CEC">
        <w:rPr>
          <w:sz w:val="20"/>
        </w:rPr>
        <w:t>,</w:t>
      </w:r>
      <w:r w:rsidR="00777D68">
        <w:rPr>
          <w:sz w:val="20"/>
        </w:rPr>
        <w:t>2</w:t>
      </w:r>
      <w:r w:rsidR="00651CEC">
        <w:rPr>
          <w:sz w:val="20"/>
        </w:rPr>
        <w:t xml:space="preserve"> mld. </w:t>
      </w:r>
      <w:r w:rsidR="001E1E77">
        <w:rPr>
          <w:sz w:val="20"/>
        </w:rPr>
        <w:t>korun</w:t>
      </w:r>
      <w:r w:rsidR="00651CEC">
        <w:rPr>
          <w:sz w:val="20"/>
        </w:rPr>
        <w:t xml:space="preserve"> </w:t>
      </w:r>
      <w:r w:rsidR="001E1E77">
        <w:rPr>
          <w:sz w:val="20"/>
        </w:rPr>
        <w:t>(</w:t>
      </w:r>
      <w:r w:rsidR="00651CEC">
        <w:rPr>
          <w:sz w:val="20"/>
        </w:rPr>
        <w:t xml:space="preserve">tj. o </w:t>
      </w:r>
      <w:r w:rsidR="00777D68">
        <w:rPr>
          <w:sz w:val="20"/>
        </w:rPr>
        <w:t>3</w:t>
      </w:r>
      <w:r w:rsidR="00764EEE">
        <w:rPr>
          <w:sz w:val="20"/>
        </w:rPr>
        <w:t>9</w:t>
      </w:r>
      <w:r w:rsidR="00BE76BE">
        <w:rPr>
          <w:sz w:val="20"/>
        </w:rPr>
        <w:t xml:space="preserve"> %</w:t>
      </w:r>
      <w:r w:rsidR="001E1E77">
        <w:rPr>
          <w:sz w:val="20"/>
        </w:rPr>
        <w:t>)</w:t>
      </w:r>
      <w:r w:rsidR="00BE76BE">
        <w:rPr>
          <w:sz w:val="20"/>
        </w:rPr>
        <w:t xml:space="preserve"> </w:t>
      </w:r>
      <w:r w:rsidR="00651CEC">
        <w:rPr>
          <w:sz w:val="20"/>
        </w:rPr>
        <w:t xml:space="preserve">více </w:t>
      </w:r>
      <w:r w:rsidR="00BE76BE">
        <w:rPr>
          <w:sz w:val="20"/>
        </w:rPr>
        <w:t>než v </w:t>
      </w:r>
      <w:r w:rsidR="00764EEE">
        <w:rPr>
          <w:sz w:val="20"/>
        </w:rPr>
        <w:t>listopadu</w:t>
      </w:r>
      <w:r w:rsidR="00BE76BE">
        <w:rPr>
          <w:sz w:val="20"/>
        </w:rPr>
        <w:t xml:space="preserve"> 2019</w:t>
      </w:r>
      <w:r>
        <w:rPr>
          <w:sz w:val="20"/>
        </w:rPr>
        <w:t>.</w:t>
      </w:r>
      <w:r w:rsidR="00764EEE">
        <w:rPr>
          <w:sz w:val="20"/>
        </w:rPr>
        <w:t xml:space="preserve"> </w:t>
      </w:r>
    </w:p>
    <w:p w14:paraId="565E5EC9" w14:textId="138ABE18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752760A2" w14:textId="5ECAC297" w:rsidR="007B7C9E" w:rsidRPr="00D40DFF" w:rsidRDefault="002B2589" w:rsidP="00D40DFF">
      <w:pPr>
        <w:tabs>
          <w:tab w:val="left" w:pos="3660"/>
        </w:tabs>
        <w:spacing w:after="120" w:line="276" w:lineRule="auto"/>
        <w:contextualSpacing/>
        <w:jc w:val="left"/>
        <w:rPr>
          <w:b/>
          <w:bCs/>
          <w:szCs w:val="18"/>
        </w:rPr>
      </w:pPr>
      <w:bookmarkStart w:id="0" w:name="_Hlk47098926"/>
      <w:r>
        <w:rPr>
          <w:b/>
          <w:bCs/>
          <w:szCs w:val="18"/>
        </w:rPr>
        <w:t>Nové hypoteční úvěry k 30.11.2020 (modře banky, červeně</w:t>
      </w:r>
      <w:r w:rsidR="00D40DFF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stavební spořitelny)</w:t>
      </w:r>
      <w:r w:rsidR="00966D19" w:rsidRPr="006A2BA7">
        <w:rPr>
          <w:sz w:val="16"/>
          <w:szCs w:val="16"/>
        </w:rPr>
        <w:t xml:space="preserve">  </w:t>
      </w:r>
      <w:r w:rsidR="006A2BA7" w:rsidRPr="006A2BA7">
        <w:rPr>
          <w:sz w:val="16"/>
          <w:szCs w:val="16"/>
        </w:rPr>
        <w:t xml:space="preserve">      </w:t>
      </w:r>
      <w:r w:rsidR="006A2BA7">
        <w:rPr>
          <w:sz w:val="16"/>
          <w:szCs w:val="16"/>
        </w:rPr>
        <w:t xml:space="preserve">                             </w:t>
      </w:r>
      <w:r w:rsidR="006A2BA7" w:rsidRPr="006A2BA7">
        <w:rPr>
          <w:sz w:val="16"/>
          <w:szCs w:val="16"/>
        </w:rPr>
        <w:t xml:space="preserve"> </w:t>
      </w:r>
      <w:r w:rsidR="00966D19" w:rsidRPr="006A2BA7">
        <w:rPr>
          <w:sz w:val="16"/>
          <w:szCs w:val="16"/>
        </w:rPr>
        <w:t xml:space="preserve"> </w:t>
      </w:r>
      <w:r w:rsidR="008629E4">
        <w:rPr>
          <w:sz w:val="16"/>
          <w:szCs w:val="16"/>
        </w:rPr>
        <w:t xml:space="preserve">              </w:t>
      </w:r>
      <w:r w:rsidR="00D6458A">
        <w:rPr>
          <w:sz w:val="16"/>
          <w:szCs w:val="16"/>
        </w:rPr>
        <w:t xml:space="preserve">                                                                                      </w:t>
      </w:r>
    </w:p>
    <w:bookmarkEnd w:id="0"/>
    <w:p w14:paraId="26ECCE19" w14:textId="1262A141" w:rsidR="00353644" w:rsidRPr="00D6458A" w:rsidRDefault="00D40DFF" w:rsidP="00D40DFF">
      <w:pPr>
        <w:tabs>
          <w:tab w:val="left" w:pos="3660"/>
        </w:tabs>
        <w:spacing w:after="120" w:line="276" w:lineRule="auto"/>
        <w:contextualSpacing/>
        <w:jc w:val="left"/>
        <w:rPr>
          <w:szCs w:val="18"/>
        </w:rPr>
      </w:pPr>
      <w:r>
        <w:rPr>
          <w:noProof/>
        </w:rPr>
        <w:drawing>
          <wp:inline distT="0" distB="0" distL="0" distR="0" wp14:anchorId="6CD0F97A" wp14:editId="27FFA65F">
            <wp:extent cx="3886200" cy="28238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72" cy="283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589">
        <w:rPr>
          <w:szCs w:val="18"/>
        </w:rPr>
        <w:t xml:space="preserve">  </w:t>
      </w:r>
      <w:r w:rsidR="00D6458A" w:rsidRPr="00D6458A">
        <w:rPr>
          <w:i/>
          <w:iCs/>
          <w:szCs w:val="18"/>
        </w:rPr>
        <w:t xml:space="preserve">                                                             </w:t>
      </w:r>
      <w:r w:rsidR="00D6458A">
        <w:rPr>
          <w:i/>
          <w:iCs/>
          <w:szCs w:val="18"/>
        </w:rPr>
        <w:t xml:space="preserve">              </w:t>
      </w:r>
      <w:r w:rsidR="00BF3BB9">
        <w:rPr>
          <w:i/>
          <w:iCs/>
          <w:szCs w:val="18"/>
        </w:rPr>
        <w:t xml:space="preserve">             </w:t>
      </w:r>
      <w:r w:rsidR="00D6458A" w:rsidRPr="00D6458A">
        <w:rPr>
          <w:i/>
          <w:iCs/>
          <w:szCs w:val="18"/>
        </w:rPr>
        <w:t xml:space="preserve"> </w:t>
      </w:r>
      <w:r w:rsidR="002B2589">
        <w:rPr>
          <w:szCs w:val="18"/>
        </w:rPr>
        <w:t xml:space="preserve">       </w:t>
      </w:r>
    </w:p>
    <w:p w14:paraId="33A75CD3" w14:textId="0B6E6A50" w:rsidR="001A757E" w:rsidRDefault="002B2589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</w:t>
      </w:r>
      <w:r w:rsidR="00D40DFF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 xml:space="preserve"> </w:t>
      </w:r>
      <w:r>
        <w:rPr>
          <w:szCs w:val="18"/>
        </w:rPr>
        <w:t>(Zdroj: statistika ČNB)</w:t>
      </w:r>
      <w:r>
        <w:rPr>
          <w:b/>
          <w:bCs/>
          <w:sz w:val="20"/>
        </w:rPr>
        <w:t xml:space="preserve">                                                                                                                  </w:t>
      </w:r>
    </w:p>
    <w:p w14:paraId="5E99AEB4" w14:textId="77777777" w:rsidR="00D40DFF" w:rsidRDefault="00D40DFF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73DBC19D" w14:textId="77777777" w:rsidR="00D40DFF" w:rsidRDefault="00D40DFF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50A2844E" w14:textId="48D02301" w:rsidR="00D6458A" w:rsidRPr="005F2054" w:rsidRDefault="00353644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 w:rsidRPr="00D40DFF">
        <w:rPr>
          <w:sz w:val="20"/>
        </w:rPr>
        <w:t>:</w:t>
      </w:r>
    </w:p>
    <w:p w14:paraId="13B09B71" w14:textId="36F65CCA" w:rsidR="002B2589" w:rsidRDefault="002B2589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Tak jako letošní rok překonává v objemech hypotečních úvěrů všechn</w:t>
      </w:r>
      <w:r w:rsidR="00584775">
        <w:rPr>
          <w:i/>
          <w:iCs/>
          <w:sz w:val="20"/>
        </w:rPr>
        <w:t>a</w:t>
      </w:r>
      <w:r>
        <w:rPr>
          <w:i/>
          <w:iCs/>
          <w:sz w:val="20"/>
        </w:rPr>
        <w:t xml:space="preserve"> očekávání a zdálo se, že </w:t>
      </w:r>
      <w:r w:rsidR="00913EC8">
        <w:rPr>
          <w:i/>
          <w:iCs/>
          <w:sz w:val="20"/>
        </w:rPr>
        <w:t xml:space="preserve">nahoru </w:t>
      </w:r>
      <w:r>
        <w:rPr>
          <w:i/>
          <w:iCs/>
          <w:sz w:val="20"/>
        </w:rPr>
        <w:t>už není kam jít,</w:t>
      </w:r>
      <w:r w:rsidR="00601C7D">
        <w:rPr>
          <w:i/>
          <w:iCs/>
          <w:sz w:val="20"/>
        </w:rPr>
        <w:t xml:space="preserve"> l</w:t>
      </w:r>
      <w:r>
        <w:rPr>
          <w:i/>
          <w:iCs/>
          <w:sz w:val="20"/>
        </w:rPr>
        <w:t>istopad se svými 22,1 mld. Kč byl nejsilnějším měsícem</w:t>
      </w:r>
      <w:r w:rsidR="005F2054">
        <w:rPr>
          <w:i/>
          <w:iCs/>
          <w:sz w:val="20"/>
        </w:rPr>
        <w:t xml:space="preserve"> v prodejích hypoték</w:t>
      </w:r>
      <w:r>
        <w:rPr>
          <w:i/>
          <w:iCs/>
          <w:sz w:val="20"/>
        </w:rPr>
        <w:t xml:space="preserve"> v historii statistik ČNB.</w:t>
      </w:r>
      <w:r w:rsidR="00367E10">
        <w:rPr>
          <w:i/>
          <w:iCs/>
          <w:sz w:val="20"/>
        </w:rPr>
        <w:t xml:space="preserve"> V koronavirovém roce neuvěřitelné. Očekávaný výsledek za celý rok</w:t>
      </w:r>
      <w:r w:rsidR="00601C7D">
        <w:rPr>
          <w:i/>
          <w:iCs/>
          <w:sz w:val="20"/>
        </w:rPr>
        <w:t xml:space="preserve"> 2020</w:t>
      </w:r>
      <w:r w:rsidR="00367E10">
        <w:rPr>
          <w:i/>
          <w:iCs/>
          <w:sz w:val="20"/>
        </w:rPr>
        <w:t xml:space="preserve"> se pohybuje kolem 210 mld. Kč. Nejsilnějším rokem byl </w:t>
      </w:r>
      <w:r w:rsidR="00D40DFF">
        <w:rPr>
          <w:i/>
          <w:iCs/>
          <w:sz w:val="20"/>
        </w:rPr>
        <w:t xml:space="preserve">zatím </w:t>
      </w:r>
      <w:r w:rsidR="00367E10">
        <w:rPr>
          <w:i/>
          <w:iCs/>
          <w:sz w:val="20"/>
        </w:rPr>
        <w:t>r</w:t>
      </w:r>
      <w:r w:rsidR="00D40DFF">
        <w:rPr>
          <w:i/>
          <w:iCs/>
          <w:sz w:val="20"/>
        </w:rPr>
        <w:t>ok</w:t>
      </w:r>
      <w:r w:rsidR="00367E10">
        <w:rPr>
          <w:i/>
          <w:iCs/>
          <w:sz w:val="20"/>
        </w:rPr>
        <w:t xml:space="preserve"> 2018, kdy se prodalo hypoték</w:t>
      </w:r>
      <w:r w:rsidR="00601C7D">
        <w:rPr>
          <w:i/>
          <w:iCs/>
          <w:sz w:val="20"/>
        </w:rPr>
        <w:t xml:space="preserve"> za 187 mld. Kč</w:t>
      </w:r>
      <w:r w:rsidR="00367E10">
        <w:rPr>
          <w:i/>
          <w:iCs/>
          <w:sz w:val="20"/>
        </w:rPr>
        <w:t>.</w:t>
      </w:r>
    </w:p>
    <w:p w14:paraId="6FE784C5" w14:textId="1FDD732D" w:rsidR="00367E10" w:rsidRDefault="00367E10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0D9857B2" w14:textId="04B05003" w:rsidR="00367E10" w:rsidRDefault="008C4A8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Co teď nejvíce zajímá banky </w:t>
      </w:r>
      <w:r w:rsidR="00913EC8">
        <w:rPr>
          <w:i/>
          <w:iCs/>
          <w:sz w:val="20"/>
        </w:rPr>
        <w:t>i</w:t>
      </w:r>
      <w:r>
        <w:rPr>
          <w:i/>
          <w:iCs/>
          <w:sz w:val="20"/>
        </w:rPr>
        <w:t xml:space="preserve"> experty na hypoteční trh je, jestli bude tento boom pokračovat i v</w:t>
      </w:r>
      <w:r w:rsidR="00601C7D">
        <w:rPr>
          <w:i/>
          <w:iCs/>
          <w:sz w:val="20"/>
        </w:rPr>
        <w:t> </w:t>
      </w:r>
      <w:r>
        <w:rPr>
          <w:i/>
          <w:iCs/>
          <w:sz w:val="20"/>
        </w:rPr>
        <w:t>roce</w:t>
      </w:r>
      <w:r w:rsidR="00601C7D">
        <w:rPr>
          <w:i/>
          <w:iCs/>
          <w:sz w:val="20"/>
        </w:rPr>
        <w:t xml:space="preserve"> 2021</w:t>
      </w:r>
      <w:r>
        <w:rPr>
          <w:i/>
          <w:iCs/>
          <w:sz w:val="20"/>
        </w:rPr>
        <w:t>. Chtěl bych tady připomenout roky 2017 a 2018, kdy rekordní prodeje hypoték probíhaly 2 roky za sebou. Teď je ovšem situace jiná, to jsme ještě byl</w:t>
      </w:r>
      <w:r w:rsidR="00913EC8">
        <w:rPr>
          <w:i/>
          <w:iCs/>
          <w:sz w:val="20"/>
        </w:rPr>
        <w:t>i</w:t>
      </w:r>
      <w:r>
        <w:rPr>
          <w:i/>
          <w:iCs/>
          <w:sz w:val="20"/>
        </w:rPr>
        <w:t xml:space="preserve"> v období konjunktury. V příštím roce se ekonomika bude teprve pomalu vzpamatovávat. Podle mého názoru dojde k poklesu trhu. </w:t>
      </w:r>
      <w:r w:rsidR="00913EC8">
        <w:rPr>
          <w:i/>
          <w:iCs/>
          <w:sz w:val="20"/>
        </w:rPr>
        <w:t>S</w:t>
      </w:r>
      <w:r>
        <w:rPr>
          <w:i/>
          <w:iCs/>
          <w:sz w:val="20"/>
        </w:rPr>
        <w:t xml:space="preserve">ice </w:t>
      </w:r>
      <w:r w:rsidR="00913EC8">
        <w:rPr>
          <w:i/>
          <w:iCs/>
          <w:sz w:val="20"/>
        </w:rPr>
        <w:t xml:space="preserve">ne </w:t>
      </w:r>
      <w:r>
        <w:rPr>
          <w:i/>
          <w:iCs/>
          <w:sz w:val="20"/>
        </w:rPr>
        <w:t xml:space="preserve">dramaticky, ale rekordní rok </w:t>
      </w:r>
      <w:r w:rsidR="00C001C2">
        <w:rPr>
          <w:i/>
          <w:iCs/>
          <w:sz w:val="20"/>
        </w:rPr>
        <w:t xml:space="preserve">2020 </w:t>
      </w:r>
      <w:r>
        <w:rPr>
          <w:i/>
          <w:iCs/>
          <w:sz w:val="20"/>
        </w:rPr>
        <w:t>se bude opakovat sotva. Zvýší se nezaměstnanost. Zvýší se úrokové sazby. Nedošlo k očekávanému poklesu cen nemovitostí. Ty naopak při nedostatku nabídky půjdou dál nahoru</w:t>
      </w:r>
      <w:r w:rsidR="00B13956">
        <w:rPr>
          <w:i/>
          <w:iCs/>
          <w:sz w:val="20"/>
        </w:rPr>
        <w:t>. Budou ukončeny vládní kovidové podpory.</w:t>
      </w:r>
      <w:r>
        <w:rPr>
          <w:i/>
          <w:iCs/>
          <w:sz w:val="20"/>
        </w:rPr>
        <w:t xml:space="preserve"> </w:t>
      </w:r>
      <w:r w:rsidR="005F2054">
        <w:rPr>
          <w:i/>
          <w:iCs/>
          <w:sz w:val="20"/>
        </w:rPr>
        <w:t>Tedy mnoho důvodů pro jisté ochlazení trhu.</w:t>
      </w:r>
    </w:p>
    <w:p w14:paraId="0E84932A" w14:textId="77777777" w:rsidR="00B13956" w:rsidRDefault="00B13956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1B2269CD" w14:textId="77777777" w:rsidR="00D40DFF" w:rsidRDefault="00D40DFF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6C324E51" w14:textId="124197FF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lastRenderedPageBreak/>
        <w:t>Refinancování úvěrů na bydlení</w:t>
      </w:r>
    </w:p>
    <w:p w14:paraId="7651B575" w14:textId="76D631BD" w:rsidR="007B7C9E" w:rsidRPr="007B7C9E" w:rsidRDefault="00722074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FF4E93" w:rsidRPr="007B7C9E">
        <w:rPr>
          <w:rFonts w:cs="Arial"/>
          <w:sz w:val="20"/>
        </w:rPr>
        <w:t>efinancov</w:t>
      </w:r>
      <w:r>
        <w:rPr>
          <w:rFonts w:cs="Arial"/>
          <w:sz w:val="20"/>
        </w:rPr>
        <w:t>ání</w:t>
      </w:r>
      <w:r w:rsidR="007B7C9E" w:rsidRPr="007B7C9E">
        <w:rPr>
          <w:rFonts w:cs="Arial"/>
          <w:sz w:val="20"/>
        </w:rPr>
        <w:t xml:space="preserve"> hypotečních úvěrů</w:t>
      </w:r>
      <w:r w:rsidR="003F4201">
        <w:rPr>
          <w:rFonts w:cs="Arial"/>
          <w:sz w:val="20"/>
        </w:rPr>
        <w:t xml:space="preserve"> od bank a stavebních spořitelen</w:t>
      </w:r>
      <w:r w:rsidR="007B7C9E" w:rsidRPr="007B7C9E">
        <w:rPr>
          <w:rFonts w:cs="Arial"/>
          <w:sz w:val="20"/>
        </w:rPr>
        <w:t xml:space="preserve"> (tj. přechod k jiné bance) za </w:t>
      </w:r>
      <w:r w:rsidR="00B13956">
        <w:rPr>
          <w:rFonts w:cs="Arial"/>
          <w:sz w:val="20"/>
        </w:rPr>
        <w:t>listopad</w:t>
      </w:r>
      <w:r w:rsidR="00387CD4">
        <w:rPr>
          <w:rFonts w:cs="Arial"/>
          <w:sz w:val="20"/>
        </w:rPr>
        <w:t xml:space="preserve"> výrazně vzrostl</w:t>
      </w:r>
      <w:r w:rsidR="009D63CB">
        <w:rPr>
          <w:rFonts w:cs="Arial"/>
          <w:sz w:val="20"/>
        </w:rPr>
        <w:t>o</w:t>
      </w:r>
      <w:r w:rsidR="00AF4F1F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 objemu šlo o </w:t>
      </w:r>
      <w:r w:rsidR="00B13956">
        <w:rPr>
          <w:rFonts w:cs="Arial"/>
          <w:sz w:val="20"/>
        </w:rPr>
        <w:t>6,4</w:t>
      </w:r>
      <w:r w:rsidR="00387CD4">
        <w:rPr>
          <w:rFonts w:cs="Arial"/>
          <w:sz w:val="20"/>
        </w:rPr>
        <w:t xml:space="preserve"> mld. </w:t>
      </w:r>
      <w:r>
        <w:rPr>
          <w:rFonts w:cs="Arial"/>
          <w:sz w:val="20"/>
        </w:rPr>
        <w:t>korun</w:t>
      </w:r>
      <w:r w:rsidR="00387CD4">
        <w:rPr>
          <w:rFonts w:cs="Arial"/>
          <w:sz w:val="20"/>
        </w:rPr>
        <w:t xml:space="preserve">. </w:t>
      </w:r>
      <w:r w:rsidR="007962E9">
        <w:rPr>
          <w:rFonts w:cs="Arial"/>
          <w:sz w:val="20"/>
        </w:rPr>
        <w:t>To je největší objem refinancování v historii hypotečních úvěrů v ČR. H</w:t>
      </w:r>
      <w:r w:rsidR="00387CD4">
        <w:rPr>
          <w:rFonts w:cs="Arial"/>
          <w:sz w:val="20"/>
        </w:rPr>
        <w:t xml:space="preserve">istoricky druhý nejsilnější měsíc </w:t>
      </w:r>
      <w:r w:rsidR="007962E9">
        <w:rPr>
          <w:rFonts w:cs="Arial"/>
          <w:sz w:val="20"/>
        </w:rPr>
        <w:t>byl listopad</w:t>
      </w:r>
      <w:r w:rsidR="00387CD4">
        <w:rPr>
          <w:rFonts w:cs="Arial"/>
          <w:sz w:val="20"/>
        </w:rPr>
        <w:t xml:space="preserve"> 2016, kdy refinancování dosáhlo </w:t>
      </w:r>
      <w:r w:rsidR="009D63CB">
        <w:rPr>
          <w:rFonts w:cs="Arial"/>
          <w:sz w:val="20"/>
        </w:rPr>
        <w:t xml:space="preserve">objemu </w:t>
      </w:r>
      <w:r w:rsidR="00387CD4">
        <w:rPr>
          <w:rFonts w:cs="Arial"/>
          <w:sz w:val="20"/>
        </w:rPr>
        <w:t xml:space="preserve">4,8 </w:t>
      </w:r>
      <w:r w:rsidR="007962E9">
        <w:rPr>
          <w:rFonts w:cs="Arial"/>
          <w:sz w:val="20"/>
        </w:rPr>
        <w:t xml:space="preserve">mld. </w:t>
      </w:r>
      <w:r>
        <w:rPr>
          <w:rFonts w:cs="Arial"/>
          <w:sz w:val="20"/>
        </w:rPr>
        <w:t>korun</w:t>
      </w:r>
      <w:r w:rsidR="007962E9">
        <w:rPr>
          <w:rFonts w:cs="Arial"/>
          <w:sz w:val="20"/>
        </w:rPr>
        <w:t>.</w:t>
      </w:r>
      <w:r w:rsidR="00B13956">
        <w:rPr>
          <w:rFonts w:cs="Arial"/>
          <w:sz w:val="20"/>
        </w:rPr>
        <w:t xml:space="preserve"> Už jenom z porovnání těchto dvou čísel je vidět, do jakých výšek se trh refinancování dostal.</w:t>
      </w:r>
    </w:p>
    <w:p w14:paraId="37AB492F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C43C1FE" w14:textId="5FC2D34B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 w:rsidRPr="00722074">
        <w:rPr>
          <w:sz w:val="20"/>
        </w:rPr>
        <w:t>:</w:t>
      </w:r>
    </w:p>
    <w:p w14:paraId="1CAD5DBE" w14:textId="0AB903DF" w:rsidR="00B13956" w:rsidRDefault="00B13956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Pokračuje neuvěřitelně vysoký objem refinancování</w:t>
      </w:r>
      <w:r w:rsidR="005F2054">
        <w:rPr>
          <w:rFonts w:cs="Arial"/>
          <w:i/>
          <w:iCs/>
          <w:sz w:val="20"/>
        </w:rPr>
        <w:t xml:space="preserve"> hypotečních úvěrů</w:t>
      </w:r>
      <w:r>
        <w:rPr>
          <w:rFonts w:cs="Arial"/>
          <w:i/>
          <w:iCs/>
          <w:sz w:val="20"/>
        </w:rPr>
        <w:t>. Za listopad představoval objem refinancování 29 % objemu nových obchodů. Spotřebitele k tomu motivují nízké úrokové sazby, zrušení daně z převodu nemovitosti a také to, že náklady při předčasném splacení hypotéky jsou minimální. To vše samozřejmě nadále umocňuje touha po vlastn</w:t>
      </w:r>
      <w:r w:rsidR="009D63CB">
        <w:rPr>
          <w:rFonts w:cs="Arial"/>
          <w:i/>
          <w:iCs/>
          <w:sz w:val="20"/>
        </w:rPr>
        <w:t>ím</w:t>
      </w:r>
      <w:r>
        <w:rPr>
          <w:rFonts w:cs="Arial"/>
          <w:i/>
          <w:iCs/>
          <w:sz w:val="20"/>
        </w:rPr>
        <w:t xml:space="preserve"> bydlení, jistá investice a zajištění na stáří (kdo by chtěl dnes spoléhat na důchodový systém za 30 let).</w:t>
      </w:r>
    </w:p>
    <w:p w14:paraId="1175A81D" w14:textId="77777777" w:rsidR="00100350" w:rsidRPr="007B7C9E" w:rsidRDefault="00100350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21A687D" w14:textId="6227B4B7" w:rsid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84CB8B5" w14:textId="2256C4A2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75C23C43" w14:textId="378EC622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7B53E07D" w14:textId="5BD808F4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9DC6810" w14:textId="6790E51C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3CB23EF6" w14:textId="1D262A67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5C356C63" w14:textId="088BE9EF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7A9A32BD" w14:textId="0899705A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177F18F" w14:textId="717AABA6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A18020F" w14:textId="352E06AE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1C301B9" w14:textId="7125FF1B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59B89409" w14:textId="19140666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30462476" w14:textId="0DF19F8F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982D884" w14:textId="77777777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D64C02E" w14:textId="2D2D8D16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78A5FCE" w14:textId="228A415F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EE7FEFD" w14:textId="77777777" w:rsidR="00913EC8" w:rsidRPr="00353644" w:rsidRDefault="00913EC8" w:rsidP="00913EC8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refixované</w:t>
      </w:r>
      <w:r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2CFAA3B1" w14:textId="26669066" w:rsidR="00913EC8" w:rsidRDefault="00913EC8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50247D9E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</w:t>
                            </w:r>
                            <w:r w:rsidR="00EF72E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50247D9E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</w:t>
                      </w:r>
                      <w:r w:rsidR="00EF72E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08C1E18B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467C4">
                              <w:rPr>
                                <w:rFonts w:cs="Arial"/>
                                <w:szCs w:val="18"/>
                              </w:rPr>
                              <w:t>7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08C1E18B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467C4">
                        <w:rPr>
                          <w:rFonts w:cs="Arial"/>
                          <w:szCs w:val="18"/>
                        </w:rPr>
                        <w:t>7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3F6453">
      <w:headerReference w:type="default" r:id="rId12"/>
      <w:footerReference w:type="default" r:id="rId13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5CEA" w14:textId="77777777" w:rsidR="000B6EEB" w:rsidRDefault="000B6EEB" w:rsidP="00F573F1">
      <w:r>
        <w:separator/>
      </w:r>
    </w:p>
  </w:endnote>
  <w:endnote w:type="continuationSeparator" w:id="0">
    <w:p w14:paraId="6749182E" w14:textId="77777777" w:rsidR="000B6EEB" w:rsidRDefault="000B6EE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8AE3" w14:textId="77777777" w:rsidR="000B6EEB" w:rsidRDefault="000B6EEB" w:rsidP="00F573F1">
      <w:r>
        <w:separator/>
      </w:r>
    </w:p>
  </w:footnote>
  <w:footnote w:type="continuationSeparator" w:id="0">
    <w:p w14:paraId="758D5597" w14:textId="77777777" w:rsidR="000B6EEB" w:rsidRDefault="000B6EE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0914"/>
    <w:multiLevelType w:val="hybridMultilevel"/>
    <w:tmpl w:val="EECE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CB06078"/>
    <w:multiLevelType w:val="hybridMultilevel"/>
    <w:tmpl w:val="AE0C8C48"/>
    <w:lvl w:ilvl="0" w:tplc="18F0FB42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  <w:color w:val="BFBFBF" w:themeColor="background1" w:themeShade="BF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7"/>
  </w:num>
  <w:num w:numId="9">
    <w:abstractNumId w:val="4"/>
  </w:num>
  <w:num w:numId="10">
    <w:abstractNumId w:val="23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8"/>
  </w:num>
  <w:num w:numId="20">
    <w:abstractNumId w:val="9"/>
  </w:num>
  <w:num w:numId="21">
    <w:abstractNumId w:val="0"/>
  </w:num>
  <w:num w:numId="22">
    <w:abstractNumId w:val="20"/>
  </w:num>
  <w:num w:numId="23">
    <w:abstractNumId w:val="26"/>
  </w:num>
  <w:num w:numId="24">
    <w:abstractNumId w:val="19"/>
  </w:num>
  <w:num w:numId="25">
    <w:abstractNumId w:val="15"/>
  </w:num>
  <w:num w:numId="26">
    <w:abstractNumId w:val="12"/>
  </w:num>
  <w:num w:numId="27">
    <w:abstractNumId w:val="25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6EEB"/>
    <w:rsid w:val="000C234E"/>
    <w:rsid w:val="000C4910"/>
    <w:rsid w:val="000D4F26"/>
    <w:rsid w:val="000D5D2B"/>
    <w:rsid w:val="000E2B4E"/>
    <w:rsid w:val="000E4ABC"/>
    <w:rsid w:val="000E563F"/>
    <w:rsid w:val="000F02FD"/>
    <w:rsid w:val="000F291E"/>
    <w:rsid w:val="000F61D0"/>
    <w:rsid w:val="000F70CA"/>
    <w:rsid w:val="00100350"/>
    <w:rsid w:val="0010268F"/>
    <w:rsid w:val="0010277A"/>
    <w:rsid w:val="0010673E"/>
    <w:rsid w:val="001126B2"/>
    <w:rsid w:val="0011443F"/>
    <w:rsid w:val="00115FCD"/>
    <w:rsid w:val="00116F4B"/>
    <w:rsid w:val="00123FF9"/>
    <w:rsid w:val="00126F1D"/>
    <w:rsid w:val="00131E94"/>
    <w:rsid w:val="00136B53"/>
    <w:rsid w:val="0014354F"/>
    <w:rsid w:val="00143DCC"/>
    <w:rsid w:val="00144D53"/>
    <w:rsid w:val="00145906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3738"/>
    <w:rsid w:val="00195C6D"/>
    <w:rsid w:val="001A2623"/>
    <w:rsid w:val="001A46CC"/>
    <w:rsid w:val="001A6304"/>
    <w:rsid w:val="001A757E"/>
    <w:rsid w:val="001C091C"/>
    <w:rsid w:val="001C2261"/>
    <w:rsid w:val="001C6945"/>
    <w:rsid w:val="001C7F88"/>
    <w:rsid w:val="001D5BB9"/>
    <w:rsid w:val="001D7ED7"/>
    <w:rsid w:val="001E0926"/>
    <w:rsid w:val="001E15FD"/>
    <w:rsid w:val="001E1E77"/>
    <w:rsid w:val="001E27B8"/>
    <w:rsid w:val="001E6F5D"/>
    <w:rsid w:val="001F3DF4"/>
    <w:rsid w:val="001F5CF7"/>
    <w:rsid w:val="00201DDA"/>
    <w:rsid w:val="002045A5"/>
    <w:rsid w:val="00205018"/>
    <w:rsid w:val="002137B0"/>
    <w:rsid w:val="00217881"/>
    <w:rsid w:val="0022075B"/>
    <w:rsid w:val="00221FF5"/>
    <w:rsid w:val="002252A8"/>
    <w:rsid w:val="00225F51"/>
    <w:rsid w:val="0022648E"/>
    <w:rsid w:val="00226F32"/>
    <w:rsid w:val="00227ACD"/>
    <w:rsid w:val="0023303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392"/>
    <w:rsid w:val="00283681"/>
    <w:rsid w:val="00284FF5"/>
    <w:rsid w:val="00290498"/>
    <w:rsid w:val="002A31A1"/>
    <w:rsid w:val="002A6290"/>
    <w:rsid w:val="002B2589"/>
    <w:rsid w:val="002B4617"/>
    <w:rsid w:val="002C2C2B"/>
    <w:rsid w:val="002C30D4"/>
    <w:rsid w:val="002C513E"/>
    <w:rsid w:val="002D1376"/>
    <w:rsid w:val="002D34F5"/>
    <w:rsid w:val="002D49FB"/>
    <w:rsid w:val="002E1390"/>
    <w:rsid w:val="002E5E57"/>
    <w:rsid w:val="002F1106"/>
    <w:rsid w:val="002F1752"/>
    <w:rsid w:val="002F477C"/>
    <w:rsid w:val="002F557F"/>
    <w:rsid w:val="003028DC"/>
    <w:rsid w:val="00315F32"/>
    <w:rsid w:val="00324743"/>
    <w:rsid w:val="003253E1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67E10"/>
    <w:rsid w:val="00370F35"/>
    <w:rsid w:val="003739F0"/>
    <w:rsid w:val="00376918"/>
    <w:rsid w:val="00376F07"/>
    <w:rsid w:val="00380502"/>
    <w:rsid w:val="00380788"/>
    <w:rsid w:val="003847A3"/>
    <w:rsid w:val="003864AF"/>
    <w:rsid w:val="00387CD4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6453"/>
    <w:rsid w:val="003F7F31"/>
    <w:rsid w:val="00401040"/>
    <w:rsid w:val="00402FA1"/>
    <w:rsid w:val="00403744"/>
    <w:rsid w:val="004050B6"/>
    <w:rsid w:val="0041521E"/>
    <w:rsid w:val="00424314"/>
    <w:rsid w:val="00425B3B"/>
    <w:rsid w:val="004325D3"/>
    <w:rsid w:val="004371EE"/>
    <w:rsid w:val="00437589"/>
    <w:rsid w:val="004376C1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21B3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2FA"/>
    <w:rsid w:val="004C751A"/>
    <w:rsid w:val="004D4333"/>
    <w:rsid w:val="004D6531"/>
    <w:rsid w:val="004E011D"/>
    <w:rsid w:val="004E1AC6"/>
    <w:rsid w:val="004E4B5B"/>
    <w:rsid w:val="004F1636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8E0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775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054"/>
    <w:rsid w:val="005F5AEF"/>
    <w:rsid w:val="005F73A6"/>
    <w:rsid w:val="005F75AC"/>
    <w:rsid w:val="00600D9B"/>
    <w:rsid w:val="00601C7D"/>
    <w:rsid w:val="0060308F"/>
    <w:rsid w:val="0060552B"/>
    <w:rsid w:val="00606E04"/>
    <w:rsid w:val="00611C5C"/>
    <w:rsid w:val="006131E9"/>
    <w:rsid w:val="0061392C"/>
    <w:rsid w:val="00614A05"/>
    <w:rsid w:val="0062336F"/>
    <w:rsid w:val="0062779F"/>
    <w:rsid w:val="0063314F"/>
    <w:rsid w:val="006445A3"/>
    <w:rsid w:val="00650724"/>
    <w:rsid w:val="0065124E"/>
    <w:rsid w:val="006513A0"/>
    <w:rsid w:val="00651CEC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2BA7"/>
    <w:rsid w:val="006A7BEA"/>
    <w:rsid w:val="006B120F"/>
    <w:rsid w:val="006B2EBD"/>
    <w:rsid w:val="006B2F86"/>
    <w:rsid w:val="006B37A6"/>
    <w:rsid w:val="006C5BB9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074"/>
    <w:rsid w:val="00722F2C"/>
    <w:rsid w:val="00727012"/>
    <w:rsid w:val="0072723A"/>
    <w:rsid w:val="00733C05"/>
    <w:rsid w:val="007402C2"/>
    <w:rsid w:val="00743577"/>
    <w:rsid w:val="007609D5"/>
    <w:rsid w:val="007627A5"/>
    <w:rsid w:val="00764EEE"/>
    <w:rsid w:val="00766C98"/>
    <w:rsid w:val="00771AA1"/>
    <w:rsid w:val="00777D68"/>
    <w:rsid w:val="007813D1"/>
    <w:rsid w:val="0078687A"/>
    <w:rsid w:val="00786BB9"/>
    <w:rsid w:val="00786FE5"/>
    <w:rsid w:val="007953B5"/>
    <w:rsid w:val="007962E9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0E4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0A58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032"/>
    <w:rsid w:val="00857A3C"/>
    <w:rsid w:val="00860613"/>
    <w:rsid w:val="00861279"/>
    <w:rsid w:val="008612B4"/>
    <w:rsid w:val="008629E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97AB7"/>
    <w:rsid w:val="008A6398"/>
    <w:rsid w:val="008B19B7"/>
    <w:rsid w:val="008B1C16"/>
    <w:rsid w:val="008B44C3"/>
    <w:rsid w:val="008C1507"/>
    <w:rsid w:val="008C4A83"/>
    <w:rsid w:val="008C5671"/>
    <w:rsid w:val="008E0069"/>
    <w:rsid w:val="008E2336"/>
    <w:rsid w:val="008F047E"/>
    <w:rsid w:val="008F2959"/>
    <w:rsid w:val="008F35E0"/>
    <w:rsid w:val="008F399F"/>
    <w:rsid w:val="009038F9"/>
    <w:rsid w:val="00905AAB"/>
    <w:rsid w:val="009139AF"/>
    <w:rsid w:val="00913EC8"/>
    <w:rsid w:val="00921C5D"/>
    <w:rsid w:val="009234FD"/>
    <w:rsid w:val="00924258"/>
    <w:rsid w:val="00924973"/>
    <w:rsid w:val="00931E42"/>
    <w:rsid w:val="0093283A"/>
    <w:rsid w:val="00935EAC"/>
    <w:rsid w:val="00942F44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425"/>
    <w:rsid w:val="0098257D"/>
    <w:rsid w:val="00986076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63CB"/>
    <w:rsid w:val="009D67D9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27CE"/>
    <w:rsid w:val="00A35CA7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3910"/>
    <w:rsid w:val="00A950F4"/>
    <w:rsid w:val="00A97F5A"/>
    <w:rsid w:val="00AB0ED1"/>
    <w:rsid w:val="00AB181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249"/>
    <w:rsid w:val="00AE6E19"/>
    <w:rsid w:val="00AF09A0"/>
    <w:rsid w:val="00AF18CA"/>
    <w:rsid w:val="00AF2AE5"/>
    <w:rsid w:val="00AF3AD9"/>
    <w:rsid w:val="00AF4F1F"/>
    <w:rsid w:val="00AF58F3"/>
    <w:rsid w:val="00B05777"/>
    <w:rsid w:val="00B13956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226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01"/>
    <w:rsid w:val="00BB50DE"/>
    <w:rsid w:val="00BB7A89"/>
    <w:rsid w:val="00BC0CB8"/>
    <w:rsid w:val="00BC1B82"/>
    <w:rsid w:val="00BC5978"/>
    <w:rsid w:val="00BD0100"/>
    <w:rsid w:val="00BD297C"/>
    <w:rsid w:val="00BD483C"/>
    <w:rsid w:val="00BD6875"/>
    <w:rsid w:val="00BD7A55"/>
    <w:rsid w:val="00BE00E4"/>
    <w:rsid w:val="00BE21A8"/>
    <w:rsid w:val="00BE2827"/>
    <w:rsid w:val="00BE48B7"/>
    <w:rsid w:val="00BE53BC"/>
    <w:rsid w:val="00BE5574"/>
    <w:rsid w:val="00BE74B4"/>
    <w:rsid w:val="00BE76BE"/>
    <w:rsid w:val="00BF0B84"/>
    <w:rsid w:val="00BF3BB9"/>
    <w:rsid w:val="00BF5F81"/>
    <w:rsid w:val="00BF6F8D"/>
    <w:rsid w:val="00C001C2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467C4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597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147"/>
    <w:rsid w:val="00D324DA"/>
    <w:rsid w:val="00D32A14"/>
    <w:rsid w:val="00D32B43"/>
    <w:rsid w:val="00D357A4"/>
    <w:rsid w:val="00D36238"/>
    <w:rsid w:val="00D4029D"/>
    <w:rsid w:val="00D40DFF"/>
    <w:rsid w:val="00D477C3"/>
    <w:rsid w:val="00D54E1D"/>
    <w:rsid w:val="00D55406"/>
    <w:rsid w:val="00D633BC"/>
    <w:rsid w:val="00D6458A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0592"/>
    <w:rsid w:val="00DF431A"/>
    <w:rsid w:val="00DF6D21"/>
    <w:rsid w:val="00E02136"/>
    <w:rsid w:val="00E03E17"/>
    <w:rsid w:val="00E06813"/>
    <w:rsid w:val="00E10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073"/>
    <w:rsid w:val="00E54596"/>
    <w:rsid w:val="00E56000"/>
    <w:rsid w:val="00E56378"/>
    <w:rsid w:val="00E56F01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77654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72EA"/>
    <w:rsid w:val="00F00241"/>
    <w:rsid w:val="00F002F6"/>
    <w:rsid w:val="00F01AED"/>
    <w:rsid w:val="00F04582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4ACA"/>
    <w:rsid w:val="00FE797F"/>
    <w:rsid w:val="00FF052C"/>
    <w:rsid w:val="00FF27FB"/>
    <w:rsid w:val="00FF382D"/>
    <w:rsid w:val="00FF4658"/>
    <w:rsid w:val="00FF4E9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2020-02-18T12:08:00Z</cp:lastPrinted>
  <dcterms:created xsi:type="dcterms:W3CDTF">2021-01-01T11:33:00Z</dcterms:created>
  <dcterms:modified xsi:type="dcterms:W3CDTF">2021-01-06T15:16:00Z</dcterms:modified>
</cp:coreProperties>
</file>