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8281" w14:textId="2A5A6870" w:rsidR="007B7C9E" w:rsidRDefault="00BF6F8D" w:rsidP="007B7C9E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7B7C9E">
        <w:rPr>
          <w:rFonts w:cs="Arial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1B1FB650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079F5392" w:rsidR="00BF6F8D" w:rsidRPr="00517111" w:rsidRDefault="004821B3" w:rsidP="004821B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           </w:t>
                            </w:r>
                            <w:r w:rsidR="00CF4597"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="00AE6249">
                              <w:rPr>
                                <w:color w:val="BFBFBF" w:themeColor="background1" w:themeShade="BF"/>
                              </w:rPr>
                              <w:t>0.11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079F5392" w:rsidR="00BF6F8D" w:rsidRPr="00517111" w:rsidRDefault="004821B3" w:rsidP="004821B3">
                      <w:pPr>
                        <w:spacing w:line="276" w:lineRule="auto"/>
                        <w:jc w:val="center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           </w:t>
                      </w:r>
                      <w:r w:rsidR="00CF4597">
                        <w:rPr>
                          <w:color w:val="BFBFBF" w:themeColor="background1" w:themeShade="BF"/>
                        </w:rPr>
                        <w:t>3</w:t>
                      </w:r>
                      <w:r w:rsidR="00AE6249">
                        <w:rPr>
                          <w:color w:val="BFBFBF" w:themeColor="background1" w:themeShade="BF"/>
                        </w:rPr>
                        <w:t>0.11</w:t>
                      </w:r>
                      <w:r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D3A" w:rsidRPr="007B7C9E">
        <w:rPr>
          <w:rFonts w:cs="Arial"/>
          <w:b/>
          <w:color w:val="007E79"/>
          <w:sz w:val="32"/>
          <w:szCs w:val="32"/>
        </w:rPr>
        <w:t xml:space="preserve">STATISTIKA </w:t>
      </w:r>
      <w:r w:rsidR="00805D3A" w:rsidRPr="008F35E0">
        <w:rPr>
          <w:rFonts w:cs="Arial"/>
          <w:b/>
          <w:color w:val="007E79"/>
          <w:sz w:val="32"/>
          <w:szCs w:val="32"/>
        </w:rPr>
        <w:t>FINANCOVÁNÍ</w:t>
      </w:r>
      <w:r w:rsidR="00805D3A" w:rsidRPr="007B7C9E">
        <w:rPr>
          <w:rFonts w:cs="Arial"/>
          <w:b/>
          <w:color w:val="007E79"/>
          <w:sz w:val="32"/>
          <w:szCs w:val="32"/>
        </w:rPr>
        <w:t xml:space="preserve"> BYDLENÍ České bankovní asociace</w:t>
      </w:r>
      <w:r w:rsidR="007B7C9E" w:rsidRPr="007B7C9E">
        <w:rPr>
          <w:rFonts w:cs="Arial"/>
          <w:b/>
          <w:color w:val="007E79"/>
          <w:sz w:val="20"/>
        </w:rPr>
        <w:t xml:space="preserve"> </w:t>
      </w:r>
    </w:p>
    <w:p w14:paraId="293F1A5F" w14:textId="3F7C4FCE" w:rsidR="00805D3A" w:rsidRDefault="002F1106" w:rsidP="00CF4597">
      <w:pPr>
        <w:spacing w:line="276" w:lineRule="auto"/>
        <w:rPr>
          <w:rFonts w:cs="Arial"/>
          <w:bCs/>
          <w:color w:val="007E79"/>
          <w:sz w:val="24"/>
          <w:szCs w:val="24"/>
        </w:rPr>
      </w:pPr>
      <w:r>
        <w:rPr>
          <w:rFonts w:cs="Arial"/>
          <w:bCs/>
          <w:color w:val="007E79"/>
          <w:sz w:val="24"/>
          <w:szCs w:val="24"/>
        </w:rPr>
        <w:t xml:space="preserve">Říjen </w:t>
      </w:r>
      <w:r w:rsidR="007B7C9E" w:rsidRPr="008F35E0">
        <w:rPr>
          <w:rFonts w:cs="Arial"/>
          <w:bCs/>
          <w:color w:val="007E79"/>
          <w:sz w:val="24"/>
          <w:szCs w:val="24"/>
        </w:rPr>
        <w:t>2020:</w:t>
      </w:r>
      <w:r>
        <w:rPr>
          <w:rFonts w:cs="Arial"/>
          <w:bCs/>
          <w:color w:val="007E79"/>
          <w:sz w:val="24"/>
          <w:szCs w:val="24"/>
        </w:rPr>
        <w:t xml:space="preserve"> Čím</w:t>
      </w:r>
      <w:r w:rsidR="007B7C9E" w:rsidRPr="008F35E0">
        <w:rPr>
          <w:rFonts w:cs="Arial"/>
          <w:bCs/>
          <w:color w:val="007E79"/>
          <w:sz w:val="24"/>
          <w:szCs w:val="24"/>
        </w:rPr>
        <w:t xml:space="preserve"> </w:t>
      </w:r>
      <w:r>
        <w:rPr>
          <w:rFonts w:cs="Arial"/>
          <w:bCs/>
          <w:color w:val="007E79"/>
          <w:sz w:val="24"/>
          <w:szCs w:val="24"/>
        </w:rPr>
        <w:t>déle vlaštovky u nás v říjnu prodlévají, tím déle pěkné a jasné dny potrvají.</w:t>
      </w:r>
    </w:p>
    <w:p w14:paraId="37387F07" w14:textId="1F0E5CD7" w:rsidR="00116D81" w:rsidRDefault="00116D81" w:rsidP="00CF4597">
      <w:pPr>
        <w:spacing w:line="276" w:lineRule="auto"/>
        <w:rPr>
          <w:rFonts w:cs="Arial"/>
          <w:bCs/>
          <w:color w:val="007E79"/>
          <w:sz w:val="24"/>
          <w:szCs w:val="24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7FD39" wp14:editId="6CFCBCC6">
                <wp:simplePos x="0" y="0"/>
                <wp:positionH relativeFrom="margin">
                  <wp:posOffset>13335</wp:posOffset>
                </wp:positionH>
                <wp:positionV relativeFrom="paragraph">
                  <wp:posOffset>91440</wp:posOffset>
                </wp:positionV>
                <wp:extent cx="6467475" cy="3562184"/>
                <wp:effectExtent l="0" t="0" r="0" b="635"/>
                <wp:wrapNone/>
                <wp:docPr id="1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56218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ED60" w14:textId="1AB0FA95" w:rsidR="00805D3A" w:rsidRPr="00805D3A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805D3A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Statistika financování bydlení ČBA (Statistika) </w:t>
                            </w:r>
                            <w:r w:rsidRPr="00805D3A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      </w:r>
                          </w:p>
                          <w:p w14:paraId="10BF5F02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18AC8F1E" w14:textId="4AEF8AA6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I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ndexRPSN </w:t>
                            </w:r>
                            <w:r w:rsidR="00116D81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ČBA</w:t>
                            </w:r>
                          </w:p>
                          <w:p w14:paraId="28C2259D" w14:textId="74E737B7" w:rsidR="00614A05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ČBA ve své Statistice zavádí tzv. IndexRPSN</w:t>
                            </w:r>
                            <w:r w:rsidR="00116D81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ČBA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 Jedná se o</w:t>
                            </w:r>
                            <w:r w:rsidR="00C437E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průměrnou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(čili Roční Procentní Sazba Nákladů) 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za všechny banky a stave</w:t>
                            </w:r>
                            <w:r w:rsidR="005702EF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b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ní spořitelny za příslušný měsíc.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Na vývoj</w:t>
                            </w:r>
                            <w:r w:rsidR="0010673E"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výší RPSN se bude ČBA zaměřovat a pravidelně ho prostřednictvím Indexu RPSN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prezentovat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veřejnosti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, mimo jiné i na webu </w:t>
                            </w:r>
                            <w:hyperlink r:id="rId8" w:history="1">
                              <w:r w:rsidR="00116D81" w:rsidRPr="00116D81">
                                <w:rPr>
                                  <w:rStyle w:val="Hypertextovodkaz"/>
                                  <w:rFonts w:cs="Arial"/>
                                  <w:bCs/>
                                  <w:color w:val="FFFFFF" w:themeColor="background1"/>
                                  <w:sz w:val="20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614A05" w:rsidRPr="00116D81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7605F60" w14:textId="71FB3CDB" w:rsidR="005702EF" w:rsidRPr="00C57652" w:rsidRDefault="005702EF" w:rsidP="00614A0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  <w:p w14:paraId="360ADC40" w14:textId="77777777" w:rsidR="00614A05" w:rsidRPr="00C57652" w:rsidRDefault="00614A05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 RPSN</w:t>
                            </w:r>
                          </w:p>
                          <w:p w14:paraId="76628D48" w14:textId="77777777" w:rsidR="00614A05" w:rsidRPr="00C57652" w:rsidRDefault="005702EF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Sledování RPSN má oproti dalším úvěrovým parametrům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pro spotřebitele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nesporné výhody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14:paraId="70C22235" w14:textId="77777777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z</w:t>
                            </w:r>
                            <w:r w:rsidR="00805D3A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ahrnuje kromě úrokových sazeb všechny náklady, které poskytovatel úvěru účtuje úvěrovanému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D0F30EA" w14:textId="12BC0832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způsob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výpočtu výše RPSN u každého úvěru a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povinnost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její sdělení úvěrovanému je </w:t>
                            </w:r>
                            <w:r w:rsidR="005702EF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všem poskytovatelům úvěrů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dána zákonem</w:t>
                            </w:r>
                          </w:p>
                          <w:p w14:paraId="10B3D3BB" w14:textId="0AF43356" w:rsidR="00614A05" w:rsidRPr="00C57652" w:rsidRDefault="00614A05" w:rsidP="00614A0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RPSN poskytovatelé úvěrů reportují ČNB, jakožto dohledovému orgánu</w:t>
                            </w:r>
                          </w:p>
                          <w:p w14:paraId="2EFB3F00" w14:textId="32E8CFD7" w:rsidR="00805D3A" w:rsidRPr="00C57652" w:rsidRDefault="00805D3A" w:rsidP="00614A05">
                            <w:pPr>
                              <w:spacing w:line="276" w:lineRule="auto"/>
                              <w:jc w:val="left"/>
                              <w:outlineLvl w:val="0"/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RPSN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tak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spotřebitelům </w:t>
                            </w:r>
                            <w:r w:rsidR="0010673E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umožňuje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spolehlivě 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srovnat výhodnost nabídek jednotlivých poskytovatelů úvěrů včetně toho, že </w:t>
                            </w:r>
                            <w:r w:rsidR="00614A05"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>mohou</w:t>
                            </w:r>
                            <w:r w:rsidRPr="00C57652">
                              <w:rPr>
                                <w:rFonts w:cs="Arial"/>
                                <w:b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porovnat i výhodnost odlišných druhů úvěrů.</w:t>
                            </w:r>
                            <w:r w:rsidRPr="00C57652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64FB09C" w14:textId="77777777" w:rsidR="00805D3A" w:rsidRPr="00C57652" w:rsidRDefault="00805D3A" w:rsidP="00805D3A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7FD39" id="Obdélník 200" o:spid="_x0000_s1027" style="position:absolute;left:0;text-align:left;margin-left:1.05pt;margin-top:7.2pt;width:509.25pt;height:280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" fillcolor="#007e79" stroked="f" strokeweight="1pt">
                <v:fill opacity="56283f"/>
                <v:textbox inset="3mm,3mm,3mm,3mm">
                  <w:txbxContent>
                    <w:p w14:paraId="38A0ED60" w14:textId="1AB0FA95" w:rsidR="00805D3A" w:rsidRPr="00805D3A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805D3A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Statistika financování bydlení ČBA (Statistika) </w:t>
                      </w:r>
                      <w:r w:rsidRPr="00805D3A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</w:r>
                    </w:p>
                    <w:p w14:paraId="10BF5F02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18AC8F1E" w14:textId="4AEF8AA6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I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ndexRPSN </w:t>
                      </w:r>
                      <w:r w:rsidR="00116D81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ČBA</w:t>
                      </w:r>
                    </w:p>
                    <w:p w14:paraId="28C2259D" w14:textId="74E737B7" w:rsidR="00614A05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ČBA ve své Statistice zavádí tzv. IndexRPSN</w:t>
                      </w:r>
                      <w:r w:rsidR="00116D81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ČBA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 Jedná se o</w:t>
                      </w:r>
                      <w:r w:rsidR="00C437E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průměrnou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(čili Roční Procentní Sazba Nákladů) 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za všechny banky a stave</w:t>
                      </w:r>
                      <w:r w:rsidR="005702EF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b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ní spořitelny za příslušný měsíc.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Na vývoj</w:t>
                      </w:r>
                      <w:r w:rsidR="0010673E"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výší RPSN se bude ČBA zaměřovat a pravidelně ho prostřednictvím Indexu RPSN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prezentovat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veřejnosti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, mimo jiné i na webu </w:t>
                      </w:r>
                      <w:hyperlink r:id="rId9" w:history="1">
                        <w:r w:rsidR="00116D81" w:rsidRPr="00116D81">
                          <w:rPr>
                            <w:rStyle w:val="Hypertextovodkaz"/>
                            <w:rFonts w:cs="Arial"/>
                            <w:bCs/>
                            <w:color w:val="FFFFFF" w:themeColor="background1"/>
                            <w:sz w:val="20"/>
                            <w:szCs w:val="18"/>
                          </w:rPr>
                          <w:t>www.cbaonline.cz</w:t>
                        </w:r>
                      </w:hyperlink>
                      <w:r w:rsidR="00614A05" w:rsidRPr="00116D81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.</w:t>
                      </w:r>
                    </w:p>
                    <w:p w14:paraId="47605F60" w14:textId="71FB3CDB" w:rsidR="005702EF" w:rsidRPr="00C57652" w:rsidRDefault="005702EF" w:rsidP="00614A0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  <w:p w14:paraId="360ADC40" w14:textId="77777777" w:rsidR="00614A05" w:rsidRPr="00C57652" w:rsidRDefault="00614A05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 RPSN</w:t>
                      </w:r>
                    </w:p>
                    <w:p w14:paraId="76628D48" w14:textId="77777777" w:rsidR="00614A05" w:rsidRPr="00C57652" w:rsidRDefault="005702EF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Sledování RPSN má oproti dalším úvěrovým parametrům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pro spotřebitele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nesporné výhody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:</w:t>
                      </w:r>
                    </w:p>
                    <w:p w14:paraId="70C22235" w14:textId="77777777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z</w:t>
                      </w:r>
                      <w:r w:rsidR="00805D3A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ahrnuje kromě úrokových sazeb všechny náklady, které poskytovatel úvěru účtuje úvěrovanému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D0F30EA" w14:textId="12BC0832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způsob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výpočtu výše RPSN u každého úvěru a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povinnost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její sdělení úvěrovanému je </w:t>
                      </w:r>
                      <w:r w:rsidR="005702EF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všem poskytovatelům úvěrů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dána zákonem</w:t>
                      </w:r>
                    </w:p>
                    <w:p w14:paraId="10B3D3BB" w14:textId="0AF43356" w:rsidR="00614A05" w:rsidRPr="00C57652" w:rsidRDefault="00614A05" w:rsidP="00614A0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RPSN poskytovatelé úvěrů reportují ČNB, jakožto dohledovému orgánu</w:t>
                      </w:r>
                    </w:p>
                    <w:p w14:paraId="2EFB3F00" w14:textId="32E8CFD7" w:rsidR="00805D3A" w:rsidRPr="00C57652" w:rsidRDefault="00805D3A" w:rsidP="00614A05">
                      <w:pPr>
                        <w:spacing w:line="276" w:lineRule="auto"/>
                        <w:jc w:val="left"/>
                        <w:outlineLvl w:val="0"/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RPSN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tak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spotřebitelům </w:t>
                      </w:r>
                      <w:r w:rsidR="0010673E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umožňuje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spolehlivě 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srovnat výhodnost nabídek jednotlivých poskytovatelů úvěrů včetně toho, že </w:t>
                      </w:r>
                      <w:r w:rsidR="00614A05"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>mohou</w:t>
                      </w:r>
                      <w:r w:rsidRPr="00C57652">
                        <w:rPr>
                          <w:rFonts w:cs="Arial"/>
                          <w:bCs/>
                          <w:color w:val="FFFFFF" w:themeColor="background1"/>
                          <w:sz w:val="20"/>
                          <w:szCs w:val="18"/>
                        </w:rPr>
                        <w:t xml:space="preserve"> porovnat i výhodnost odlišných druhů úvěrů.</w:t>
                      </w:r>
                      <w:r w:rsidRPr="00C57652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64FB09C" w14:textId="77777777" w:rsidR="00805D3A" w:rsidRPr="00C57652" w:rsidRDefault="00805D3A" w:rsidP="00805D3A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AB3C9" w14:textId="596EF87E" w:rsidR="00CF4597" w:rsidRDefault="00CF4597" w:rsidP="00CF4597">
      <w:pPr>
        <w:spacing w:line="276" w:lineRule="auto"/>
        <w:rPr>
          <w:rFonts w:cs="Arial"/>
          <w:bCs/>
          <w:color w:val="007E79"/>
          <w:sz w:val="24"/>
          <w:szCs w:val="24"/>
        </w:rPr>
      </w:pPr>
    </w:p>
    <w:p w14:paraId="05284F5D" w14:textId="77777777" w:rsidR="00CF4597" w:rsidRDefault="00CF4597" w:rsidP="00CF4597">
      <w:pPr>
        <w:spacing w:line="276" w:lineRule="auto"/>
        <w:rPr>
          <w:rFonts w:cs="Arial"/>
          <w:b/>
          <w:color w:val="007E79"/>
          <w:sz w:val="28"/>
          <w:szCs w:val="28"/>
        </w:rPr>
      </w:pPr>
    </w:p>
    <w:p w14:paraId="573D9E83" w14:textId="2291B3BE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4AA93466" w14:textId="27B9F2A1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39DC562" w14:textId="76AA1199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57201FB" w14:textId="77777777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7BCF8073" w14:textId="60A67518" w:rsidR="00805D3A" w:rsidRDefault="00805D3A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</w:p>
    <w:p w14:paraId="293142CD" w14:textId="77777777" w:rsidR="00805D3A" w:rsidRDefault="00805D3A" w:rsidP="00805D3A">
      <w:pPr>
        <w:spacing w:line="276" w:lineRule="auto"/>
        <w:rPr>
          <w:i/>
          <w:iCs/>
          <w:sz w:val="22"/>
          <w:szCs w:val="22"/>
        </w:rPr>
      </w:pP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544B5959" w14:textId="77777777" w:rsidR="00C437E5" w:rsidRDefault="00C437E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F62940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07C20F5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879471F" w14:textId="77777777" w:rsidR="005702EF" w:rsidRDefault="005702EF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2A2B1FBE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6321A5B8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41B201E2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0AB9A2FD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57F88DAF" w14:textId="77777777" w:rsidR="00614A05" w:rsidRDefault="00614A05" w:rsidP="002B4617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</w:p>
    <w:p w14:paraId="3E9662D5" w14:textId="614499F2" w:rsidR="007B7C9E" w:rsidRDefault="007B7C9E" w:rsidP="007B7C9E">
      <w:pPr>
        <w:spacing w:line="276" w:lineRule="auto"/>
        <w:rPr>
          <w:rFonts w:cs="Arial"/>
          <w:b/>
          <w:color w:val="007E79"/>
          <w:sz w:val="24"/>
          <w:szCs w:val="24"/>
        </w:rPr>
      </w:pPr>
    </w:p>
    <w:p w14:paraId="4F54DEAF" w14:textId="77777777" w:rsidR="00116D81" w:rsidRDefault="00116D81" w:rsidP="00116D81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05EFC901" w14:textId="2B3EDFC6" w:rsidR="00116D81" w:rsidRPr="00353644" w:rsidRDefault="00116D81" w:rsidP="00116D81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>IndexRPSN</w:t>
      </w:r>
      <w:r>
        <w:rPr>
          <w:rFonts w:cs="Arial"/>
          <w:b/>
          <w:color w:val="007E79"/>
          <w:sz w:val="24"/>
          <w:szCs w:val="24"/>
        </w:rPr>
        <w:t xml:space="preserve"> ČBA</w:t>
      </w:r>
    </w:p>
    <w:p w14:paraId="5AFECE47" w14:textId="17333E88" w:rsidR="00116D81" w:rsidRDefault="00116D81" w:rsidP="00116D81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>IndexRPSN</w:t>
      </w:r>
      <w:r w:rsidRPr="00C5765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ČBA </w:t>
      </w:r>
      <w:r>
        <w:rPr>
          <w:rFonts w:cs="Arial"/>
          <w:sz w:val="20"/>
        </w:rPr>
        <w:t xml:space="preserve">(průměrná </w:t>
      </w:r>
      <w:r w:rsidRPr="00353644">
        <w:rPr>
          <w:rFonts w:cs="Arial"/>
          <w:sz w:val="20"/>
        </w:rPr>
        <w:t>RPSN</w:t>
      </w:r>
      <w:r>
        <w:rPr>
          <w:rFonts w:cs="Arial"/>
          <w:sz w:val="20"/>
        </w:rPr>
        <w:t>)</w:t>
      </w:r>
      <w:r w:rsidRPr="00353644">
        <w:rPr>
          <w:rFonts w:cs="Arial"/>
          <w:sz w:val="20"/>
        </w:rPr>
        <w:t xml:space="preserve"> podle statistiky ČNB b</w:t>
      </w:r>
      <w:r>
        <w:rPr>
          <w:rFonts w:cs="Arial"/>
          <w:sz w:val="20"/>
        </w:rPr>
        <w:t>yl</w:t>
      </w:r>
      <w:r w:rsidRPr="00353644">
        <w:rPr>
          <w:rFonts w:cs="Arial"/>
          <w:sz w:val="20"/>
        </w:rPr>
        <w:t xml:space="preserve"> za </w:t>
      </w:r>
      <w:r>
        <w:rPr>
          <w:rFonts w:cs="Arial"/>
          <w:sz w:val="20"/>
        </w:rPr>
        <w:t>říjen</w:t>
      </w:r>
      <w:r w:rsidRPr="00353644">
        <w:rPr>
          <w:rFonts w:cs="Arial"/>
          <w:sz w:val="20"/>
        </w:rPr>
        <w:t xml:space="preserve"> u hypotečních </w:t>
      </w:r>
      <w:r w:rsidRPr="00353644">
        <w:rPr>
          <w:rFonts w:cs="Arial"/>
          <w:sz w:val="20"/>
        </w:rPr>
        <w:t>úvěrů 2</w:t>
      </w:r>
      <w:r w:rsidRPr="00353644">
        <w:rPr>
          <w:rFonts w:cs="Arial"/>
          <w:sz w:val="20"/>
        </w:rPr>
        <w:t>,</w:t>
      </w:r>
      <w:r>
        <w:rPr>
          <w:rFonts w:cs="Arial"/>
          <w:sz w:val="20"/>
        </w:rPr>
        <w:t>24</w:t>
      </w:r>
      <w:r w:rsidRPr="00353644">
        <w:rPr>
          <w:rFonts w:cs="Arial"/>
          <w:sz w:val="20"/>
        </w:rPr>
        <w:t xml:space="preserve"> %. Oproti </w:t>
      </w:r>
      <w:r>
        <w:rPr>
          <w:rFonts w:cs="Arial"/>
          <w:sz w:val="20"/>
        </w:rPr>
        <w:t xml:space="preserve">září </w:t>
      </w:r>
      <w:r w:rsidRPr="00353644">
        <w:rPr>
          <w:rFonts w:cs="Arial"/>
          <w:sz w:val="20"/>
        </w:rPr>
        <w:t xml:space="preserve">2020 </w:t>
      </w:r>
      <w:r>
        <w:rPr>
          <w:rFonts w:cs="Arial"/>
          <w:sz w:val="20"/>
        </w:rPr>
        <w:t>klesla</w:t>
      </w:r>
      <w:r w:rsidRPr="00353644">
        <w:rPr>
          <w:rFonts w:cs="Arial"/>
          <w:sz w:val="20"/>
        </w:rPr>
        <w:t xml:space="preserve"> průměrná RPSN o </w:t>
      </w:r>
      <w:proofErr w:type="gramStart"/>
      <w:r w:rsidRPr="00353644">
        <w:rPr>
          <w:rFonts w:cs="Arial"/>
          <w:sz w:val="20"/>
        </w:rPr>
        <w:t>0,</w:t>
      </w:r>
      <w:r>
        <w:rPr>
          <w:rFonts w:cs="Arial"/>
          <w:sz w:val="20"/>
        </w:rPr>
        <w:t>04</w:t>
      </w:r>
      <w:r w:rsidRPr="00353644">
        <w:rPr>
          <w:rFonts w:cs="Arial"/>
          <w:sz w:val="20"/>
        </w:rPr>
        <w:t xml:space="preserve"> procentního</w:t>
      </w:r>
      <w:proofErr w:type="gramEnd"/>
      <w:r w:rsidRPr="00353644">
        <w:rPr>
          <w:rFonts w:cs="Arial"/>
          <w:sz w:val="20"/>
        </w:rPr>
        <w:t xml:space="preserve"> bodu. V </w:t>
      </w:r>
      <w:r>
        <w:rPr>
          <w:rFonts w:cs="Arial"/>
          <w:sz w:val="20"/>
        </w:rPr>
        <w:t>říjnu</w:t>
      </w:r>
      <w:r w:rsidRPr="00353644">
        <w:rPr>
          <w:rFonts w:cs="Arial"/>
          <w:sz w:val="20"/>
        </w:rPr>
        <w:t xml:space="preserve"> 2019 </w:t>
      </w:r>
      <w:r>
        <w:rPr>
          <w:rFonts w:cs="Arial"/>
          <w:sz w:val="20"/>
        </w:rPr>
        <w:t>činila</w:t>
      </w:r>
      <w:r w:rsidRPr="00353644">
        <w:rPr>
          <w:rFonts w:cs="Arial"/>
          <w:sz w:val="20"/>
        </w:rPr>
        <w:t xml:space="preserve"> 2,</w:t>
      </w:r>
      <w:r>
        <w:rPr>
          <w:rFonts w:cs="Arial"/>
          <w:sz w:val="20"/>
        </w:rPr>
        <w:t>57</w:t>
      </w:r>
      <w:r w:rsidRPr="00353644">
        <w:rPr>
          <w:rFonts w:cs="Arial"/>
          <w:sz w:val="20"/>
        </w:rPr>
        <w:t xml:space="preserve"> %, tudíž v </w:t>
      </w:r>
      <w:r>
        <w:rPr>
          <w:rFonts w:cs="Arial"/>
          <w:sz w:val="20"/>
        </w:rPr>
        <w:t>říjnu</w:t>
      </w:r>
      <w:r w:rsidRPr="00353644">
        <w:rPr>
          <w:rFonts w:cs="Arial"/>
          <w:sz w:val="20"/>
        </w:rPr>
        <w:t xml:space="preserve"> 2020 došlo k</w:t>
      </w:r>
      <w:r>
        <w:rPr>
          <w:rFonts w:cs="Arial"/>
          <w:sz w:val="20"/>
        </w:rPr>
        <w:t xml:space="preserve"> meziročnímu </w:t>
      </w:r>
      <w:r w:rsidRPr="00353644">
        <w:rPr>
          <w:rFonts w:cs="Arial"/>
          <w:sz w:val="20"/>
        </w:rPr>
        <w:t xml:space="preserve">snížení o </w:t>
      </w:r>
      <w:proofErr w:type="gramStart"/>
      <w:r w:rsidRPr="00353644">
        <w:rPr>
          <w:rFonts w:cs="Arial"/>
          <w:sz w:val="20"/>
        </w:rPr>
        <w:t>0,</w:t>
      </w:r>
      <w:r>
        <w:rPr>
          <w:rFonts w:cs="Arial"/>
          <w:sz w:val="20"/>
        </w:rPr>
        <w:t>33</w:t>
      </w:r>
      <w:r w:rsidRPr="00353644">
        <w:rPr>
          <w:rFonts w:cs="Arial"/>
          <w:sz w:val="20"/>
        </w:rPr>
        <w:t xml:space="preserve"> procentního</w:t>
      </w:r>
      <w:proofErr w:type="gramEnd"/>
      <w:r w:rsidRPr="00353644">
        <w:rPr>
          <w:rFonts w:cs="Arial"/>
          <w:sz w:val="20"/>
        </w:rPr>
        <w:t xml:space="preserve"> bodu. </w:t>
      </w:r>
      <w:r>
        <w:rPr>
          <w:rFonts w:cs="Arial"/>
          <w:sz w:val="20"/>
        </w:rPr>
        <w:t xml:space="preserve">To </w:t>
      </w:r>
      <w:r>
        <w:rPr>
          <w:rFonts w:cs="Arial"/>
          <w:sz w:val="20"/>
        </w:rPr>
        <w:t>u průměrné hypotéky představuje</w:t>
      </w:r>
      <w:r>
        <w:rPr>
          <w:rFonts w:cs="Arial"/>
          <w:sz w:val="20"/>
        </w:rPr>
        <w:t xml:space="preserve"> snížení měsíční splátky o 800 Kč.</w:t>
      </w:r>
    </w:p>
    <w:p w14:paraId="7C3C6C5B" w14:textId="77777777" w:rsidR="00116D81" w:rsidRDefault="00116D81" w:rsidP="00116D81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</w:p>
    <w:p w14:paraId="219350FD" w14:textId="77777777" w:rsidR="00116D81" w:rsidRPr="00353644" w:rsidRDefault="00116D81" w:rsidP="00116D81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</w:p>
    <w:p w14:paraId="2B96D0AE" w14:textId="77777777" w:rsidR="00116D81" w:rsidRPr="001D7ED7" w:rsidRDefault="00116D81" w:rsidP="00116D81">
      <w:pPr>
        <w:tabs>
          <w:tab w:val="left" w:pos="3660"/>
        </w:tabs>
        <w:spacing w:after="120" w:line="276" w:lineRule="auto"/>
        <w:contextualSpacing/>
        <w:rPr>
          <w:sz w:val="16"/>
          <w:szCs w:val="16"/>
        </w:rPr>
      </w:pPr>
      <w:r>
        <w:rPr>
          <w:sz w:val="20"/>
        </w:rPr>
        <w:t xml:space="preserve">     </w:t>
      </w:r>
      <w:r>
        <w:rPr>
          <w:noProof/>
        </w:rPr>
        <w:drawing>
          <wp:inline distT="0" distB="0" distL="0" distR="0" wp14:anchorId="37D61504" wp14:editId="2AF115CB">
            <wp:extent cx="4078605" cy="27051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313" cy="275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063B9" w14:textId="77777777" w:rsidR="00116D81" w:rsidRPr="00424314" w:rsidRDefault="00116D81" w:rsidP="00116D81">
      <w:pPr>
        <w:tabs>
          <w:tab w:val="left" w:pos="3660"/>
        </w:tabs>
        <w:spacing w:after="120" w:line="276" w:lineRule="auto"/>
        <w:contextualSpacing/>
        <w:rPr>
          <w:b/>
          <w:bCs/>
          <w:szCs w:val="18"/>
        </w:rPr>
      </w:pPr>
      <w:r>
        <w:rPr>
          <w:b/>
          <w:bCs/>
          <w:sz w:val="20"/>
        </w:rPr>
        <w:t xml:space="preserve">                                                                                      </w:t>
      </w:r>
      <w:r w:rsidRPr="00424314">
        <w:rPr>
          <w:szCs w:val="18"/>
        </w:rPr>
        <w:t>(Zdroj: Statistika, ČNB)</w:t>
      </w:r>
      <w:r w:rsidRPr="00424314">
        <w:rPr>
          <w:b/>
          <w:bCs/>
          <w:szCs w:val="18"/>
        </w:rPr>
        <w:t xml:space="preserve">       </w:t>
      </w:r>
    </w:p>
    <w:p w14:paraId="344D598E" w14:textId="77777777" w:rsidR="00116D81" w:rsidRDefault="00116D81" w:rsidP="00116D81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lastRenderedPageBreak/>
        <w:t>Vladimír Staňura, hlavní poradce ČBA</w:t>
      </w:r>
      <w:r w:rsidRPr="00116D81">
        <w:rPr>
          <w:sz w:val="20"/>
        </w:rPr>
        <w:t>:</w:t>
      </w:r>
    </w:p>
    <w:p w14:paraId="16716A84" w14:textId="2CBB6AE7" w:rsidR="00116D81" w:rsidRDefault="00116D81" w:rsidP="00116D81">
      <w:pPr>
        <w:rPr>
          <w:i/>
          <w:iCs/>
          <w:sz w:val="20"/>
        </w:rPr>
      </w:pPr>
      <w:r>
        <w:rPr>
          <w:i/>
          <w:iCs/>
          <w:sz w:val="20"/>
        </w:rPr>
        <w:t xml:space="preserve">RPSN i úrokové sazby dlouhodobě klesají. S výjimkou let 2017 a 2018, kdy se sazby dostaly ke 3 %, od března 2019 začaly zase klesat a dnes se </w:t>
      </w:r>
      <w:r>
        <w:rPr>
          <w:i/>
          <w:iCs/>
          <w:sz w:val="20"/>
        </w:rPr>
        <w:t>opět</w:t>
      </w:r>
      <w:r>
        <w:rPr>
          <w:i/>
          <w:iCs/>
          <w:sz w:val="20"/>
        </w:rPr>
        <w:t xml:space="preserve"> dostaly k nejnižším úrovním, které panovaly na trhu na konci roku 2016. Tento stav nebude trvat věčně. Příliš mnoho peněz na trhu „díky“ rozpočtovým schodkům a několikaletým intervencím ČNB ve prospěch české koruny způsobí v příštím roce inflační tlaky, které poženou RPSN i úrokové sazby nahoru.</w:t>
      </w:r>
    </w:p>
    <w:p w14:paraId="180FF9D6" w14:textId="77777777" w:rsidR="00116D81" w:rsidRDefault="00116D81" w:rsidP="00116D81">
      <w:pPr>
        <w:rPr>
          <w:i/>
          <w:iCs/>
          <w:sz w:val="20"/>
        </w:rPr>
      </w:pPr>
    </w:p>
    <w:p w14:paraId="37F03CD7" w14:textId="77777777" w:rsidR="00116D81" w:rsidRDefault="00116D81" w:rsidP="00116D81">
      <w:pPr>
        <w:rPr>
          <w:i/>
          <w:iCs/>
          <w:sz w:val="20"/>
        </w:rPr>
      </w:pPr>
      <w:r>
        <w:rPr>
          <w:i/>
          <w:iCs/>
          <w:sz w:val="20"/>
        </w:rPr>
        <w:t xml:space="preserve">Rozdíl mezi RPSN a úrokovými sazbami se v tuto chvíli pohybuje kolem </w:t>
      </w:r>
      <w:proofErr w:type="gramStart"/>
      <w:r>
        <w:rPr>
          <w:i/>
          <w:iCs/>
          <w:sz w:val="20"/>
        </w:rPr>
        <w:t>0,16 procentního</w:t>
      </w:r>
      <w:proofErr w:type="gramEnd"/>
      <w:r>
        <w:rPr>
          <w:i/>
          <w:iCs/>
          <w:sz w:val="20"/>
        </w:rPr>
        <w:t xml:space="preserve"> bodu. To je dobrý důvod pro spotřebitele srovnávat nabídky bank nejenom podle úrokových sazeb, ale hlavně podle RPSN.</w:t>
      </w:r>
    </w:p>
    <w:p w14:paraId="165AE37E" w14:textId="77777777" w:rsidR="00116D81" w:rsidRPr="007B7C9E" w:rsidRDefault="00116D81" w:rsidP="00116D81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9E272A5" w14:textId="77777777" w:rsidR="00116D81" w:rsidRDefault="00116D81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</w:p>
    <w:p w14:paraId="02883C4B" w14:textId="06411580" w:rsidR="00353644" w:rsidRDefault="00353644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t>---</w:t>
      </w:r>
    </w:p>
    <w:p w14:paraId="30CF9870" w14:textId="05A41362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 xml:space="preserve">Nové úvěry na bydlení </w:t>
      </w:r>
    </w:p>
    <w:p w14:paraId="27A6A684" w14:textId="68BB91C4" w:rsidR="00E56F01" w:rsidRPr="007B7C9E" w:rsidRDefault="002F1106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  <w:r>
        <w:rPr>
          <w:sz w:val="20"/>
        </w:rPr>
        <w:t>N</w:t>
      </w:r>
      <w:r w:rsidR="007B7C9E" w:rsidRPr="007B7C9E">
        <w:rPr>
          <w:sz w:val="20"/>
        </w:rPr>
        <w:t xml:space="preserve">ové hypoteční úvěry na bydlení od bank a stavebních spořitelen dosáhly v </w:t>
      </w:r>
      <w:r w:rsidR="00AE6249">
        <w:rPr>
          <w:sz w:val="20"/>
        </w:rPr>
        <w:t>říjnu</w:t>
      </w:r>
      <w:r w:rsidR="007B7C9E" w:rsidRPr="007B7C9E">
        <w:rPr>
          <w:sz w:val="20"/>
        </w:rPr>
        <w:t xml:space="preserve"> </w:t>
      </w:r>
      <w:r w:rsidR="005F75AC">
        <w:rPr>
          <w:sz w:val="20"/>
        </w:rPr>
        <w:t xml:space="preserve">2020 </w:t>
      </w:r>
      <w:r w:rsidR="007B7C9E" w:rsidRPr="007B7C9E">
        <w:rPr>
          <w:sz w:val="20"/>
        </w:rPr>
        <w:t xml:space="preserve">celkového objemu </w:t>
      </w:r>
      <w:r w:rsidR="00777D68">
        <w:rPr>
          <w:sz w:val="20"/>
        </w:rPr>
        <w:t>20,7</w:t>
      </w:r>
      <w:r w:rsidR="007B7C9E" w:rsidRPr="007B7C9E">
        <w:rPr>
          <w:sz w:val="20"/>
        </w:rPr>
        <w:t xml:space="preserve"> mld. </w:t>
      </w:r>
      <w:r w:rsidR="00116D81">
        <w:rPr>
          <w:sz w:val="20"/>
        </w:rPr>
        <w:t>korun</w:t>
      </w:r>
      <w:r w:rsidR="007B7C9E" w:rsidRPr="007B7C9E">
        <w:rPr>
          <w:sz w:val="20"/>
        </w:rPr>
        <w:t xml:space="preserve">. To je </w:t>
      </w:r>
      <w:r w:rsidR="004821B3">
        <w:rPr>
          <w:sz w:val="20"/>
        </w:rPr>
        <w:t xml:space="preserve">o </w:t>
      </w:r>
      <w:r w:rsidR="00651CEC">
        <w:rPr>
          <w:sz w:val="20"/>
        </w:rPr>
        <w:t>1,</w:t>
      </w:r>
      <w:r w:rsidR="00777D68">
        <w:rPr>
          <w:sz w:val="20"/>
        </w:rPr>
        <w:t>9</w:t>
      </w:r>
      <w:r w:rsidR="004821B3">
        <w:rPr>
          <w:sz w:val="20"/>
        </w:rPr>
        <w:t xml:space="preserve"> mld. </w:t>
      </w:r>
      <w:r w:rsidR="00116D81">
        <w:rPr>
          <w:sz w:val="20"/>
        </w:rPr>
        <w:t>korun,</w:t>
      </w:r>
      <w:r w:rsidR="004821B3">
        <w:rPr>
          <w:sz w:val="20"/>
        </w:rPr>
        <w:t xml:space="preserve"> tj. </w:t>
      </w:r>
      <w:r w:rsidR="00651CEC">
        <w:rPr>
          <w:sz w:val="20"/>
        </w:rPr>
        <w:t>o 10</w:t>
      </w:r>
      <w:r w:rsidR="00777D68">
        <w:rPr>
          <w:sz w:val="20"/>
        </w:rPr>
        <w:t>,3</w:t>
      </w:r>
      <w:r w:rsidR="00651CEC">
        <w:rPr>
          <w:sz w:val="20"/>
        </w:rPr>
        <w:t xml:space="preserve"> %</w:t>
      </w:r>
      <w:r w:rsidR="00116D81">
        <w:rPr>
          <w:sz w:val="20"/>
        </w:rPr>
        <w:t>,</w:t>
      </w:r>
      <w:r w:rsidR="00651CEC">
        <w:rPr>
          <w:sz w:val="20"/>
        </w:rPr>
        <w:t xml:space="preserve"> více než v </w:t>
      </w:r>
      <w:r w:rsidR="00777D68">
        <w:rPr>
          <w:sz w:val="20"/>
        </w:rPr>
        <w:t>září</w:t>
      </w:r>
      <w:r w:rsidR="00830A58">
        <w:rPr>
          <w:sz w:val="20"/>
        </w:rPr>
        <w:t xml:space="preserve"> 2020</w:t>
      </w:r>
      <w:r w:rsidR="00116D81">
        <w:rPr>
          <w:sz w:val="20"/>
        </w:rPr>
        <w:t xml:space="preserve"> a současně </w:t>
      </w:r>
      <w:r w:rsidR="00651CEC">
        <w:rPr>
          <w:sz w:val="20"/>
        </w:rPr>
        <w:t>o 5,</w:t>
      </w:r>
      <w:r w:rsidR="00777D68">
        <w:rPr>
          <w:sz w:val="20"/>
        </w:rPr>
        <w:t>2</w:t>
      </w:r>
      <w:r w:rsidR="00651CEC">
        <w:rPr>
          <w:sz w:val="20"/>
        </w:rPr>
        <w:t xml:space="preserve"> mld. </w:t>
      </w:r>
      <w:r w:rsidR="00116D81">
        <w:rPr>
          <w:sz w:val="20"/>
        </w:rPr>
        <w:t>korun,</w:t>
      </w:r>
      <w:r w:rsidR="00651CEC">
        <w:rPr>
          <w:sz w:val="20"/>
        </w:rPr>
        <w:t xml:space="preserve"> tj. o </w:t>
      </w:r>
      <w:r w:rsidR="00777D68">
        <w:rPr>
          <w:sz w:val="20"/>
        </w:rPr>
        <w:t>33</w:t>
      </w:r>
      <w:r w:rsidR="00BE76BE">
        <w:rPr>
          <w:sz w:val="20"/>
        </w:rPr>
        <w:t xml:space="preserve"> % !!!</w:t>
      </w:r>
      <w:r w:rsidR="00116D81">
        <w:rPr>
          <w:sz w:val="20"/>
        </w:rPr>
        <w:t>,</w:t>
      </w:r>
      <w:r w:rsidR="00BE76BE">
        <w:rPr>
          <w:sz w:val="20"/>
        </w:rPr>
        <w:t xml:space="preserve"> </w:t>
      </w:r>
      <w:r w:rsidR="00651CEC">
        <w:rPr>
          <w:sz w:val="20"/>
        </w:rPr>
        <w:t xml:space="preserve">více </w:t>
      </w:r>
      <w:r w:rsidR="00BE76BE">
        <w:rPr>
          <w:sz w:val="20"/>
        </w:rPr>
        <w:t>než v </w:t>
      </w:r>
      <w:r w:rsidR="00777D68">
        <w:rPr>
          <w:sz w:val="20"/>
        </w:rPr>
        <w:t>říjnu</w:t>
      </w:r>
      <w:r w:rsidR="00BE76BE">
        <w:rPr>
          <w:sz w:val="20"/>
        </w:rPr>
        <w:t xml:space="preserve"> 2019</w:t>
      </w:r>
      <w:r>
        <w:rPr>
          <w:sz w:val="20"/>
        </w:rPr>
        <w:t>.</w:t>
      </w:r>
    </w:p>
    <w:p w14:paraId="565E5EC9" w14:textId="138ABE18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sz w:val="20"/>
        </w:rPr>
      </w:pPr>
    </w:p>
    <w:p w14:paraId="752760A2" w14:textId="2716A335" w:rsidR="007B7C9E" w:rsidRPr="006A2BA7" w:rsidRDefault="00966D19" w:rsidP="00966D19">
      <w:pPr>
        <w:tabs>
          <w:tab w:val="left" w:pos="3660"/>
        </w:tabs>
        <w:spacing w:after="120" w:line="276" w:lineRule="auto"/>
        <w:contextualSpacing/>
        <w:rPr>
          <w:sz w:val="16"/>
          <w:szCs w:val="16"/>
        </w:rPr>
      </w:pPr>
      <w:bookmarkStart w:id="0" w:name="_Hlk47098926"/>
      <w:r w:rsidRPr="006A2BA7">
        <w:rPr>
          <w:sz w:val="16"/>
          <w:szCs w:val="16"/>
        </w:rPr>
        <w:t xml:space="preserve">            </w:t>
      </w:r>
      <w:r w:rsidR="00BF3BB9">
        <w:rPr>
          <w:noProof/>
        </w:rPr>
        <w:drawing>
          <wp:inline distT="0" distB="0" distL="0" distR="0" wp14:anchorId="79FA6915" wp14:editId="39649C68">
            <wp:extent cx="3982720" cy="276831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55" cy="278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BA7">
        <w:rPr>
          <w:sz w:val="16"/>
          <w:szCs w:val="16"/>
        </w:rPr>
        <w:t xml:space="preserve">                                              </w:t>
      </w:r>
      <w:r w:rsidR="006A2BA7" w:rsidRPr="006A2BA7">
        <w:rPr>
          <w:sz w:val="16"/>
          <w:szCs w:val="16"/>
        </w:rPr>
        <w:t xml:space="preserve">      </w:t>
      </w:r>
      <w:r w:rsidR="006A2BA7">
        <w:rPr>
          <w:sz w:val="16"/>
          <w:szCs w:val="16"/>
        </w:rPr>
        <w:t xml:space="preserve">                             </w:t>
      </w:r>
      <w:r w:rsidR="006A2BA7" w:rsidRPr="006A2BA7">
        <w:rPr>
          <w:sz w:val="16"/>
          <w:szCs w:val="16"/>
        </w:rPr>
        <w:t xml:space="preserve"> </w:t>
      </w:r>
      <w:r w:rsidRPr="006A2BA7">
        <w:rPr>
          <w:sz w:val="16"/>
          <w:szCs w:val="16"/>
        </w:rPr>
        <w:t xml:space="preserve"> </w:t>
      </w:r>
      <w:r w:rsidR="008629E4">
        <w:rPr>
          <w:sz w:val="16"/>
          <w:szCs w:val="16"/>
        </w:rPr>
        <w:t xml:space="preserve">              </w:t>
      </w:r>
      <w:r w:rsidR="00D6458A">
        <w:rPr>
          <w:sz w:val="16"/>
          <w:szCs w:val="16"/>
        </w:rPr>
        <w:t xml:space="preserve">                                                                                      </w:t>
      </w:r>
    </w:p>
    <w:bookmarkEnd w:id="0"/>
    <w:p w14:paraId="26ECCE19" w14:textId="0E24F7FC" w:rsidR="00353644" w:rsidRPr="00D6458A" w:rsidRDefault="00D6458A" w:rsidP="007B7C9E">
      <w:pPr>
        <w:tabs>
          <w:tab w:val="left" w:pos="3660"/>
        </w:tabs>
        <w:spacing w:after="120" w:line="276" w:lineRule="auto"/>
        <w:contextualSpacing/>
        <w:rPr>
          <w:szCs w:val="18"/>
        </w:rPr>
      </w:pPr>
      <w:r w:rsidRPr="00D6458A">
        <w:rPr>
          <w:i/>
          <w:iCs/>
          <w:szCs w:val="18"/>
        </w:rPr>
        <w:t xml:space="preserve">                                                                      </w:t>
      </w:r>
      <w:r>
        <w:rPr>
          <w:i/>
          <w:iCs/>
          <w:szCs w:val="18"/>
        </w:rPr>
        <w:t xml:space="preserve">              </w:t>
      </w:r>
      <w:r w:rsidR="00BF3BB9">
        <w:rPr>
          <w:i/>
          <w:iCs/>
          <w:szCs w:val="18"/>
        </w:rPr>
        <w:t xml:space="preserve">             </w:t>
      </w:r>
      <w:r w:rsidRPr="00D6458A">
        <w:rPr>
          <w:i/>
          <w:iCs/>
          <w:szCs w:val="18"/>
        </w:rPr>
        <w:t xml:space="preserve"> </w:t>
      </w:r>
      <w:r w:rsidRPr="00D6458A">
        <w:rPr>
          <w:szCs w:val="18"/>
        </w:rPr>
        <w:t>(Zdroj: statistika ČNB)</w:t>
      </w:r>
    </w:p>
    <w:p w14:paraId="33A75CD3" w14:textId="77777777" w:rsidR="001A757E" w:rsidRDefault="001A757E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292513A4" w14:textId="77777777" w:rsidR="00D6458A" w:rsidRDefault="00D6458A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</w:p>
    <w:p w14:paraId="6EC256BE" w14:textId="77777777" w:rsidR="00D6458A" w:rsidRDefault="00D6458A" w:rsidP="007B7C9E">
      <w:pPr>
        <w:tabs>
          <w:tab w:val="left" w:pos="3660"/>
        </w:tabs>
        <w:spacing w:after="120" w:line="276" w:lineRule="auto"/>
        <w:contextualSpacing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14:paraId="50A2844E" w14:textId="7E2D1CD0" w:rsidR="00D6458A" w:rsidRDefault="00353644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>
        <w:rPr>
          <w:i/>
          <w:iCs/>
          <w:sz w:val="20"/>
        </w:rPr>
        <w:t>:</w:t>
      </w:r>
    </w:p>
    <w:p w14:paraId="5C84C255" w14:textId="20F356CC" w:rsidR="00136B53" w:rsidRDefault="00D6458A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>Letošní rok bude bezpochyby rekordní. Pokud se nestane nic neobvyklého, bude rok 2020 zaznamenán jako rok, kdy bylo prodáno nejvíce hypotečních úvěrů v novodobé historii</w:t>
      </w:r>
      <w:r w:rsidR="00766C98">
        <w:rPr>
          <w:i/>
          <w:iCs/>
          <w:sz w:val="20"/>
        </w:rPr>
        <w:t xml:space="preserve"> ČR</w:t>
      </w:r>
      <w:r w:rsidR="00116D81">
        <w:rPr>
          <w:i/>
          <w:iCs/>
          <w:sz w:val="20"/>
        </w:rPr>
        <w:t>, samozřejmě pokud mluvíme o objemu</w:t>
      </w:r>
      <w:r w:rsidR="00766C98">
        <w:rPr>
          <w:i/>
          <w:iCs/>
          <w:sz w:val="20"/>
        </w:rPr>
        <w:t>.</w:t>
      </w:r>
      <w:r>
        <w:rPr>
          <w:i/>
          <w:iCs/>
          <w:sz w:val="20"/>
        </w:rPr>
        <w:t xml:space="preserve"> P</w:t>
      </w:r>
      <w:r w:rsidR="00766C98">
        <w:rPr>
          <w:i/>
          <w:iCs/>
          <w:sz w:val="20"/>
        </w:rPr>
        <w:t xml:space="preserve">řes 20 mld. </w:t>
      </w:r>
      <w:r w:rsidR="00116D81">
        <w:rPr>
          <w:i/>
          <w:iCs/>
          <w:sz w:val="20"/>
        </w:rPr>
        <w:t>Kč</w:t>
      </w:r>
      <w:r w:rsidR="00766C98">
        <w:rPr>
          <w:i/>
          <w:iCs/>
          <w:sz w:val="20"/>
        </w:rPr>
        <w:t xml:space="preserve"> za měsíc se prodeje hypoték dostaly pouze v listopadu 2016 a říjnu 2018. Očekávaný výsledek za letošek se pohybuje kolem 207 mld. Kč, přičemž v doposud nejsilnějším rekordním roce 2018 se prodalo 187 mld. Kč hypoték.</w:t>
      </w:r>
    </w:p>
    <w:p w14:paraId="52F8A511" w14:textId="27E157EA" w:rsidR="00136B53" w:rsidRDefault="00136B53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0AF68494" w14:textId="1F316C3B" w:rsidR="00136B53" w:rsidRDefault="00766C98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>
        <w:rPr>
          <w:i/>
          <w:iCs/>
          <w:sz w:val="20"/>
        </w:rPr>
        <w:t xml:space="preserve">Pokračuje sázka na jistotu. </w:t>
      </w:r>
      <w:r w:rsidR="00401040">
        <w:rPr>
          <w:i/>
          <w:iCs/>
          <w:sz w:val="20"/>
        </w:rPr>
        <w:t xml:space="preserve">ČNB deklarovala, že ceny nemovitostí jsou nadhodnocené o 17 až 25 %. </w:t>
      </w:r>
      <w:r>
        <w:rPr>
          <w:i/>
          <w:iCs/>
          <w:sz w:val="20"/>
        </w:rPr>
        <w:t>Přes vysoké a neustále rostoucí ceny vidí Češi investici do vlastního bydlení jako nejjistější v nejisté době.</w:t>
      </w:r>
      <w:r w:rsidR="00401040">
        <w:rPr>
          <w:i/>
          <w:iCs/>
          <w:sz w:val="20"/>
        </w:rPr>
        <w:t xml:space="preserve"> Vedle sázky na jistotu jsou silným motorem prodejů</w:t>
      </w:r>
      <w:r w:rsidR="006041E2">
        <w:rPr>
          <w:i/>
          <w:iCs/>
          <w:sz w:val="20"/>
        </w:rPr>
        <w:t xml:space="preserve"> i</w:t>
      </w:r>
      <w:r w:rsidR="00401040">
        <w:rPr>
          <w:i/>
          <w:iCs/>
          <w:sz w:val="20"/>
        </w:rPr>
        <w:t xml:space="preserve"> nízké RPSN a úrokové sazby. Ani se nedivím. </w:t>
      </w:r>
      <w:r w:rsidR="00AF4F1F">
        <w:rPr>
          <w:i/>
          <w:iCs/>
          <w:sz w:val="20"/>
        </w:rPr>
        <w:t>Před 10 lety byly úrokové sazby na hypoteční úvěry přes 5 %. A to už je tedy oproti těm dnešním sakra rozdíl! Kde je dáno, že se vyšší úrokové sazby nevrátí? Takto uvažuje hodně lidí, protože podíl dlouhodobých fixací dramaticky roste. Zejména ty nejdelší</w:t>
      </w:r>
      <w:r w:rsidR="006041E2">
        <w:rPr>
          <w:i/>
          <w:iCs/>
          <w:sz w:val="20"/>
        </w:rPr>
        <w:t>,</w:t>
      </w:r>
      <w:r w:rsidR="00AF4F1F">
        <w:rPr>
          <w:i/>
          <w:iCs/>
          <w:sz w:val="20"/>
        </w:rPr>
        <w:t xml:space="preserve"> tj. </w:t>
      </w:r>
      <w:r w:rsidR="006041E2">
        <w:rPr>
          <w:i/>
          <w:iCs/>
          <w:sz w:val="20"/>
        </w:rPr>
        <w:t xml:space="preserve">na </w:t>
      </w:r>
      <w:r w:rsidR="00AF4F1F">
        <w:rPr>
          <w:i/>
          <w:iCs/>
          <w:sz w:val="20"/>
        </w:rPr>
        <w:t>10 a více</w:t>
      </w:r>
      <w:r w:rsidR="006041E2" w:rsidRPr="006041E2">
        <w:rPr>
          <w:i/>
          <w:iCs/>
          <w:sz w:val="20"/>
        </w:rPr>
        <w:t xml:space="preserve"> </w:t>
      </w:r>
      <w:r w:rsidR="006041E2">
        <w:rPr>
          <w:i/>
          <w:iCs/>
          <w:sz w:val="20"/>
        </w:rPr>
        <w:t>let</w:t>
      </w:r>
      <w:r w:rsidR="00AF4F1F">
        <w:rPr>
          <w:i/>
          <w:iCs/>
          <w:sz w:val="20"/>
        </w:rPr>
        <w:t>. Kdybych si bral dnes hypotéku, uděl</w:t>
      </w:r>
      <w:r w:rsidR="00193738">
        <w:rPr>
          <w:i/>
          <w:iCs/>
          <w:sz w:val="20"/>
        </w:rPr>
        <w:t>ám totéž.</w:t>
      </w:r>
    </w:p>
    <w:p w14:paraId="0D4728FF" w14:textId="77777777" w:rsidR="00B7226C" w:rsidRDefault="00B7226C" w:rsidP="007B7C9E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</w:p>
    <w:p w14:paraId="4633E22B" w14:textId="77777777" w:rsidR="006041E2" w:rsidRDefault="006041E2" w:rsidP="006041E2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>
        <w:rPr>
          <w:rFonts w:cs="Arial"/>
          <w:b/>
          <w:color w:val="007E79"/>
          <w:sz w:val="24"/>
          <w:szCs w:val="24"/>
        </w:rPr>
        <w:lastRenderedPageBreak/>
        <w:t>---</w:t>
      </w:r>
    </w:p>
    <w:p w14:paraId="6C324E51" w14:textId="365B8409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b/>
          <w:color w:val="007E79"/>
          <w:sz w:val="24"/>
          <w:szCs w:val="24"/>
        </w:rPr>
      </w:pPr>
      <w:r w:rsidRPr="00353644">
        <w:rPr>
          <w:rFonts w:cs="Arial"/>
          <w:b/>
          <w:color w:val="007E79"/>
          <w:sz w:val="24"/>
          <w:szCs w:val="24"/>
        </w:rPr>
        <w:t>Refinancování úvěrů na bydlení</w:t>
      </w:r>
    </w:p>
    <w:p w14:paraId="7651B575" w14:textId="0878291F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20"/>
        </w:rPr>
      </w:pPr>
      <w:r w:rsidRPr="007B7C9E">
        <w:rPr>
          <w:rFonts w:cs="Arial"/>
          <w:sz w:val="20"/>
        </w:rPr>
        <w:t>Refinancování hypotečních úvěrů</w:t>
      </w:r>
      <w:r w:rsidR="003F4201">
        <w:rPr>
          <w:rFonts w:cs="Arial"/>
          <w:sz w:val="20"/>
        </w:rPr>
        <w:t xml:space="preserve"> od bank a stavebních spořitelen</w:t>
      </w:r>
      <w:r w:rsidRPr="007B7C9E">
        <w:rPr>
          <w:rFonts w:cs="Arial"/>
          <w:sz w:val="20"/>
        </w:rPr>
        <w:t xml:space="preserve"> (tj. přechod k jiné bance) za </w:t>
      </w:r>
      <w:r w:rsidR="00AF4F1F">
        <w:rPr>
          <w:rFonts w:cs="Arial"/>
          <w:sz w:val="20"/>
        </w:rPr>
        <w:t>říjen</w:t>
      </w:r>
      <w:r w:rsidR="00387CD4">
        <w:rPr>
          <w:rFonts w:cs="Arial"/>
          <w:sz w:val="20"/>
        </w:rPr>
        <w:t xml:space="preserve"> </w:t>
      </w:r>
      <w:r w:rsidR="006041E2">
        <w:rPr>
          <w:rFonts w:cs="Arial"/>
          <w:sz w:val="20"/>
        </w:rPr>
        <w:t xml:space="preserve">2020 </w:t>
      </w:r>
      <w:r w:rsidR="00387CD4">
        <w:rPr>
          <w:rFonts w:cs="Arial"/>
          <w:sz w:val="20"/>
        </w:rPr>
        <w:t>výrazně vzrostlo</w:t>
      </w:r>
      <w:r w:rsidR="00AF4F1F">
        <w:rPr>
          <w:rFonts w:cs="Arial"/>
          <w:sz w:val="20"/>
        </w:rPr>
        <w:t>, a to</w:t>
      </w:r>
      <w:r w:rsidR="00387CD4">
        <w:rPr>
          <w:rFonts w:cs="Arial"/>
          <w:sz w:val="20"/>
        </w:rPr>
        <w:t xml:space="preserve"> na </w:t>
      </w:r>
      <w:r w:rsidR="007962E9">
        <w:rPr>
          <w:rFonts w:cs="Arial"/>
          <w:sz w:val="20"/>
        </w:rPr>
        <w:t>5,8</w:t>
      </w:r>
      <w:r w:rsidR="00387CD4">
        <w:rPr>
          <w:rFonts w:cs="Arial"/>
          <w:sz w:val="20"/>
        </w:rPr>
        <w:t xml:space="preserve"> mld. Kč. </w:t>
      </w:r>
      <w:r w:rsidR="007962E9">
        <w:rPr>
          <w:rFonts w:cs="Arial"/>
          <w:sz w:val="20"/>
        </w:rPr>
        <w:t>To je největší objem refinancování v historii hypotečních úvěrů v ČR. H</w:t>
      </w:r>
      <w:r w:rsidR="00387CD4">
        <w:rPr>
          <w:rFonts w:cs="Arial"/>
          <w:sz w:val="20"/>
        </w:rPr>
        <w:t xml:space="preserve">istoricky druhý nejsilnější měsíc </w:t>
      </w:r>
      <w:r w:rsidR="007962E9">
        <w:rPr>
          <w:rFonts w:cs="Arial"/>
          <w:sz w:val="20"/>
        </w:rPr>
        <w:t>byl listopad</w:t>
      </w:r>
      <w:r w:rsidR="00387CD4">
        <w:rPr>
          <w:rFonts w:cs="Arial"/>
          <w:sz w:val="20"/>
        </w:rPr>
        <w:t xml:space="preserve"> 2016, kdy refinancování dosáhlo 4,8 </w:t>
      </w:r>
      <w:r w:rsidR="007962E9">
        <w:rPr>
          <w:rFonts w:cs="Arial"/>
          <w:sz w:val="20"/>
        </w:rPr>
        <w:t>mld. Kč.</w:t>
      </w:r>
    </w:p>
    <w:p w14:paraId="37AB492F" w14:textId="7777777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C43C1FE" w14:textId="5FC2D34B" w:rsidR="00353644" w:rsidRDefault="00353644" w:rsidP="00353644">
      <w:pPr>
        <w:tabs>
          <w:tab w:val="left" w:pos="3660"/>
        </w:tabs>
        <w:spacing w:after="120" w:line="276" w:lineRule="auto"/>
        <w:contextualSpacing/>
        <w:rPr>
          <w:i/>
          <w:iCs/>
          <w:sz w:val="20"/>
        </w:rPr>
      </w:pPr>
      <w:r w:rsidRPr="00353644">
        <w:rPr>
          <w:b/>
          <w:bCs/>
          <w:sz w:val="20"/>
        </w:rPr>
        <w:t>Vladimír Staňura, hlavní poradce ČBA</w:t>
      </w:r>
      <w:r>
        <w:rPr>
          <w:i/>
          <w:iCs/>
          <w:sz w:val="20"/>
        </w:rPr>
        <w:t>:</w:t>
      </w:r>
    </w:p>
    <w:p w14:paraId="6352661E" w14:textId="09A9EC5B" w:rsidR="007962E9" w:rsidRDefault="00387CD4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Takto vysoký objem refinancování</w:t>
      </w:r>
      <w:r w:rsidR="007962E9">
        <w:rPr>
          <w:rFonts w:cs="Arial"/>
          <w:i/>
          <w:iCs/>
          <w:sz w:val="20"/>
        </w:rPr>
        <w:t xml:space="preserve">, myslím, nikdo nečekal. Že bude číslo vysoké, to bych </w:t>
      </w:r>
      <w:r w:rsidR="002F1106">
        <w:rPr>
          <w:rFonts w:cs="Arial"/>
          <w:i/>
          <w:iCs/>
          <w:sz w:val="20"/>
        </w:rPr>
        <w:t>se býval</w:t>
      </w:r>
      <w:r w:rsidR="007962E9">
        <w:rPr>
          <w:rFonts w:cs="Arial"/>
          <w:i/>
          <w:iCs/>
          <w:sz w:val="20"/>
        </w:rPr>
        <w:t xml:space="preserve"> vsadil. </w:t>
      </w:r>
      <w:r w:rsidR="006041E2">
        <w:rPr>
          <w:rFonts w:cs="Arial"/>
          <w:i/>
          <w:iCs/>
          <w:sz w:val="20"/>
        </w:rPr>
        <w:t>Ale přesto</w:t>
      </w:r>
      <w:r w:rsidR="007962E9">
        <w:rPr>
          <w:rFonts w:cs="Arial"/>
          <w:i/>
          <w:iCs/>
          <w:sz w:val="20"/>
        </w:rPr>
        <w:t xml:space="preserve"> rekord udivuje svojí výší</w:t>
      </w:r>
      <w:r w:rsidR="006041E2">
        <w:rPr>
          <w:rFonts w:cs="Arial"/>
          <w:i/>
          <w:iCs/>
          <w:sz w:val="20"/>
        </w:rPr>
        <w:t>,</w:t>
      </w:r>
      <w:r>
        <w:rPr>
          <w:rFonts w:cs="Arial"/>
          <w:i/>
          <w:iCs/>
          <w:sz w:val="20"/>
        </w:rPr>
        <w:t xml:space="preserve"> </w:t>
      </w:r>
      <w:r w:rsidR="007962E9">
        <w:rPr>
          <w:rFonts w:cs="Arial"/>
          <w:i/>
          <w:iCs/>
          <w:sz w:val="20"/>
        </w:rPr>
        <w:t xml:space="preserve">28 % !!! obchodů ve srovnání s objemem nových úvěrů je refinancování. </w:t>
      </w:r>
      <w:r w:rsidR="006041E2">
        <w:rPr>
          <w:rFonts w:cs="Arial"/>
          <w:i/>
          <w:iCs/>
          <w:sz w:val="20"/>
        </w:rPr>
        <w:t>Neuvěřitelné!!!</w:t>
      </w:r>
      <w:r w:rsidR="007962E9">
        <w:rPr>
          <w:rFonts w:cs="Arial"/>
          <w:i/>
          <w:iCs/>
          <w:sz w:val="20"/>
        </w:rPr>
        <w:t xml:space="preserve"> „Motorem“ tohoto rekordu jsou jako u objemů nízké RPSN a úrokové sazby. Ty pomáhají </w:t>
      </w:r>
      <w:r w:rsidR="00205018">
        <w:rPr>
          <w:rFonts w:cs="Arial"/>
          <w:i/>
          <w:iCs/>
          <w:sz w:val="20"/>
        </w:rPr>
        <w:t>klientům zlevnit svoji hypotéku. Spotřebitelé se radují, banky pláčou.</w:t>
      </w:r>
    </w:p>
    <w:p w14:paraId="0F954F6C" w14:textId="6DB2C82C" w:rsidR="00387CD4" w:rsidRDefault="00387CD4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07D2EEA8" w14:textId="41A80E1D" w:rsidR="007B7C9E" w:rsidRPr="00353644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353644">
        <w:rPr>
          <w:rFonts w:cs="Arial"/>
          <w:sz w:val="16"/>
          <w:szCs w:val="16"/>
        </w:rPr>
        <w:t>Pozn. k metodice: Jedná se o nové, refinancované</w:t>
      </w:r>
      <w:r w:rsidR="003F4201">
        <w:rPr>
          <w:rFonts w:cs="Arial"/>
          <w:sz w:val="16"/>
          <w:szCs w:val="16"/>
        </w:rPr>
        <w:t>,</w:t>
      </w:r>
      <w:r w:rsidRPr="00353644">
        <w:rPr>
          <w:rFonts w:cs="Arial"/>
          <w:sz w:val="16"/>
          <w:szCs w:val="16"/>
        </w:rPr>
        <w:t xml:space="preserve"> refixované</w:t>
      </w:r>
      <w:r w:rsidR="003F4201">
        <w:rPr>
          <w:rFonts w:cs="Arial"/>
          <w:sz w:val="16"/>
          <w:szCs w:val="16"/>
        </w:rPr>
        <w:t xml:space="preserve"> či konsolidované</w:t>
      </w:r>
      <w:r w:rsidRPr="00353644">
        <w:rPr>
          <w:rFonts w:cs="Arial"/>
          <w:sz w:val="16"/>
          <w:szCs w:val="16"/>
        </w:rPr>
        <w:t xml:space="preserve"> úvěry od bank i stavebních spořitelen celkem. </w:t>
      </w:r>
    </w:p>
    <w:p w14:paraId="421A687D" w14:textId="77777777" w:rsidR="007B7C9E" w:rsidRPr="007B7C9E" w:rsidRDefault="007B7C9E" w:rsidP="007B7C9E">
      <w:pPr>
        <w:tabs>
          <w:tab w:val="left" w:pos="3660"/>
        </w:tabs>
        <w:spacing w:after="120" w:line="276" w:lineRule="auto"/>
        <w:contextualSpacing/>
        <w:rPr>
          <w:rFonts w:cs="Arial"/>
          <w:i/>
          <w:iCs/>
          <w:sz w:val="20"/>
        </w:rPr>
      </w:pP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301C8716">
                <wp:simplePos x="0" y="0"/>
                <wp:positionH relativeFrom="margin">
                  <wp:align>left</wp:align>
                </wp:positionH>
                <wp:positionV relativeFrom="paragraph">
                  <wp:posOffset>67200</wp:posOffset>
                </wp:positionV>
                <wp:extent cx="6582741" cy="1699260"/>
                <wp:effectExtent l="0" t="0" r="889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2741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50247D9E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</w:t>
                            </w:r>
                            <w:r w:rsidR="00EF72E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8" style="position:absolute;left:0;text-align:left;margin-left:0;margin-top:5.3pt;width:518.35pt;height:133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oUtwIAANcFAAAOAAAAZHJzL2Uyb0RvYy54bWysVMFu2zAMvQ/YPwi6r3aCJW2NOkXQosOA&#10;rC3WDj0rshwblUVNUmJnf7RDv6I/Nkqyv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50247D9E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</w:t>
                      </w:r>
                      <w:r w:rsidR="00EF72EA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29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C82Hii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69C3C02D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116D81">
                              <w:rPr>
                                <w:rFonts w:cs="Arial"/>
                                <w:szCs w:val="18"/>
                              </w:rPr>
                              <w:t>40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0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BKswQb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69C3C02D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116D81">
                        <w:rPr>
                          <w:rFonts w:cs="Arial"/>
                          <w:szCs w:val="18"/>
                        </w:rPr>
                        <w:t>40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14354F">
      <w:headerReference w:type="default" r:id="rId12"/>
      <w:footerReference w:type="default" r:id="rId13"/>
      <w:pgSz w:w="11906" w:h="16838"/>
      <w:pgMar w:top="2410" w:right="849" w:bottom="993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13D5" w14:textId="77777777" w:rsidR="00D633BC" w:rsidRDefault="00D633BC" w:rsidP="00F573F1">
      <w:r>
        <w:separator/>
      </w:r>
    </w:p>
  </w:endnote>
  <w:endnote w:type="continuationSeparator" w:id="0">
    <w:p w14:paraId="42C320E3" w14:textId="77777777" w:rsidR="00D633BC" w:rsidRDefault="00D633B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F0FBD" w14:textId="77777777" w:rsidR="00D633BC" w:rsidRDefault="00D633BC" w:rsidP="00F573F1">
      <w:r>
        <w:separator/>
      </w:r>
    </w:p>
  </w:footnote>
  <w:footnote w:type="continuationSeparator" w:id="0">
    <w:p w14:paraId="62FDC046" w14:textId="77777777" w:rsidR="00D633BC" w:rsidRDefault="00D633B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BA0914"/>
    <w:multiLevelType w:val="hybridMultilevel"/>
    <w:tmpl w:val="EECE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13"/>
  </w:num>
  <w:num w:numId="5">
    <w:abstractNumId w:val="3"/>
  </w:num>
  <w:num w:numId="6">
    <w:abstractNumId w:val="21"/>
  </w:num>
  <w:num w:numId="7">
    <w:abstractNumId w:val="5"/>
  </w:num>
  <w:num w:numId="8">
    <w:abstractNumId w:val="26"/>
  </w:num>
  <w:num w:numId="9">
    <w:abstractNumId w:val="4"/>
  </w:num>
  <w:num w:numId="10">
    <w:abstractNumId w:val="22"/>
  </w:num>
  <w:num w:numId="11">
    <w:abstractNumId w:val="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7"/>
  </w:num>
  <w:num w:numId="17">
    <w:abstractNumId w:val="10"/>
  </w:num>
  <w:num w:numId="18">
    <w:abstractNumId w:val="16"/>
  </w:num>
  <w:num w:numId="19">
    <w:abstractNumId w:val="18"/>
  </w:num>
  <w:num w:numId="20">
    <w:abstractNumId w:val="9"/>
  </w:num>
  <w:num w:numId="21">
    <w:abstractNumId w:val="0"/>
  </w:num>
  <w:num w:numId="22">
    <w:abstractNumId w:val="20"/>
  </w:num>
  <w:num w:numId="23">
    <w:abstractNumId w:val="25"/>
  </w:num>
  <w:num w:numId="24">
    <w:abstractNumId w:val="19"/>
  </w:num>
  <w:num w:numId="25">
    <w:abstractNumId w:val="15"/>
  </w:num>
  <w:num w:numId="26">
    <w:abstractNumId w:val="1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0A9E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61D0"/>
    <w:rsid w:val="000F70CA"/>
    <w:rsid w:val="00100350"/>
    <w:rsid w:val="0010268F"/>
    <w:rsid w:val="0010277A"/>
    <w:rsid w:val="0010673E"/>
    <w:rsid w:val="001126B2"/>
    <w:rsid w:val="0011443F"/>
    <w:rsid w:val="00115FCD"/>
    <w:rsid w:val="00116D81"/>
    <w:rsid w:val="00116F4B"/>
    <w:rsid w:val="00123FF9"/>
    <w:rsid w:val="00126F1D"/>
    <w:rsid w:val="00131E94"/>
    <w:rsid w:val="00136B53"/>
    <w:rsid w:val="0014354F"/>
    <w:rsid w:val="00143DCC"/>
    <w:rsid w:val="00144D53"/>
    <w:rsid w:val="00145906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3738"/>
    <w:rsid w:val="00195C6D"/>
    <w:rsid w:val="001A2623"/>
    <w:rsid w:val="001A46CC"/>
    <w:rsid w:val="001A6304"/>
    <w:rsid w:val="001A757E"/>
    <w:rsid w:val="001C091C"/>
    <w:rsid w:val="001C2261"/>
    <w:rsid w:val="001C6945"/>
    <w:rsid w:val="001C7F88"/>
    <w:rsid w:val="001D5BB9"/>
    <w:rsid w:val="001D7ED7"/>
    <w:rsid w:val="001E15FD"/>
    <w:rsid w:val="001E27B8"/>
    <w:rsid w:val="001E6F5D"/>
    <w:rsid w:val="001F3DF4"/>
    <w:rsid w:val="001F5CF7"/>
    <w:rsid w:val="00201DDA"/>
    <w:rsid w:val="002045A5"/>
    <w:rsid w:val="00205018"/>
    <w:rsid w:val="002137B0"/>
    <w:rsid w:val="00217881"/>
    <w:rsid w:val="0022075B"/>
    <w:rsid w:val="00221FF5"/>
    <w:rsid w:val="00225F51"/>
    <w:rsid w:val="0022648E"/>
    <w:rsid w:val="00226F32"/>
    <w:rsid w:val="00227ACD"/>
    <w:rsid w:val="0023303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392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34F5"/>
    <w:rsid w:val="002D49FB"/>
    <w:rsid w:val="002E1390"/>
    <w:rsid w:val="002E5E57"/>
    <w:rsid w:val="002F1106"/>
    <w:rsid w:val="002F1752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3644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864AF"/>
    <w:rsid w:val="00387CD4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4201"/>
    <w:rsid w:val="003F7F31"/>
    <w:rsid w:val="00401040"/>
    <w:rsid w:val="00402FA1"/>
    <w:rsid w:val="00403744"/>
    <w:rsid w:val="004050B6"/>
    <w:rsid w:val="0041521E"/>
    <w:rsid w:val="00424314"/>
    <w:rsid w:val="00425B3B"/>
    <w:rsid w:val="004325D3"/>
    <w:rsid w:val="004371EE"/>
    <w:rsid w:val="00437589"/>
    <w:rsid w:val="004376C1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21B3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2FA"/>
    <w:rsid w:val="004C751A"/>
    <w:rsid w:val="004D4333"/>
    <w:rsid w:val="004D6531"/>
    <w:rsid w:val="004E011D"/>
    <w:rsid w:val="004E1AC6"/>
    <w:rsid w:val="004E4B5B"/>
    <w:rsid w:val="004F1636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8E0"/>
    <w:rsid w:val="0055016A"/>
    <w:rsid w:val="00552694"/>
    <w:rsid w:val="0055377C"/>
    <w:rsid w:val="00554717"/>
    <w:rsid w:val="00556DE6"/>
    <w:rsid w:val="00561ED7"/>
    <w:rsid w:val="005642DD"/>
    <w:rsid w:val="00564453"/>
    <w:rsid w:val="005666D7"/>
    <w:rsid w:val="005702EF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5AEF"/>
    <w:rsid w:val="005F73A6"/>
    <w:rsid w:val="005F75AC"/>
    <w:rsid w:val="00600D9B"/>
    <w:rsid w:val="0060308F"/>
    <w:rsid w:val="006041E2"/>
    <w:rsid w:val="0060552B"/>
    <w:rsid w:val="00606E04"/>
    <w:rsid w:val="00611C5C"/>
    <w:rsid w:val="006131E9"/>
    <w:rsid w:val="0061392C"/>
    <w:rsid w:val="00614A05"/>
    <w:rsid w:val="0062336F"/>
    <w:rsid w:val="0063314F"/>
    <w:rsid w:val="006445A3"/>
    <w:rsid w:val="00650724"/>
    <w:rsid w:val="0065124E"/>
    <w:rsid w:val="006513A0"/>
    <w:rsid w:val="00651CEC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2BA7"/>
    <w:rsid w:val="006A7BEA"/>
    <w:rsid w:val="006B120F"/>
    <w:rsid w:val="006B2EBD"/>
    <w:rsid w:val="006B2F86"/>
    <w:rsid w:val="006B37A6"/>
    <w:rsid w:val="006C5BB9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627A5"/>
    <w:rsid w:val="00766C98"/>
    <w:rsid w:val="00771AA1"/>
    <w:rsid w:val="00777D68"/>
    <w:rsid w:val="007813D1"/>
    <w:rsid w:val="0078687A"/>
    <w:rsid w:val="00786BB9"/>
    <w:rsid w:val="00786FE5"/>
    <w:rsid w:val="007953B5"/>
    <w:rsid w:val="007962E9"/>
    <w:rsid w:val="007964DC"/>
    <w:rsid w:val="007A3BFB"/>
    <w:rsid w:val="007B02A8"/>
    <w:rsid w:val="007B5E3D"/>
    <w:rsid w:val="007B6B28"/>
    <w:rsid w:val="007B7B44"/>
    <w:rsid w:val="007B7C9E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5D3A"/>
    <w:rsid w:val="00807F85"/>
    <w:rsid w:val="00811FE2"/>
    <w:rsid w:val="00820A66"/>
    <w:rsid w:val="00826371"/>
    <w:rsid w:val="0082668B"/>
    <w:rsid w:val="00830214"/>
    <w:rsid w:val="00830902"/>
    <w:rsid w:val="00830A58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032"/>
    <w:rsid w:val="00857A3C"/>
    <w:rsid w:val="00860613"/>
    <w:rsid w:val="00861279"/>
    <w:rsid w:val="008612B4"/>
    <w:rsid w:val="008629E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97AB7"/>
    <w:rsid w:val="008A6398"/>
    <w:rsid w:val="008B19B7"/>
    <w:rsid w:val="008B1C16"/>
    <w:rsid w:val="008B44C3"/>
    <w:rsid w:val="008C1507"/>
    <w:rsid w:val="008C5671"/>
    <w:rsid w:val="008E0069"/>
    <w:rsid w:val="008E2336"/>
    <w:rsid w:val="008F047E"/>
    <w:rsid w:val="008F2959"/>
    <w:rsid w:val="008F35E0"/>
    <w:rsid w:val="008F399F"/>
    <w:rsid w:val="009038F9"/>
    <w:rsid w:val="00905AAB"/>
    <w:rsid w:val="009139AF"/>
    <w:rsid w:val="00921C5D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66D19"/>
    <w:rsid w:val="009704A0"/>
    <w:rsid w:val="00975439"/>
    <w:rsid w:val="00977317"/>
    <w:rsid w:val="00980C11"/>
    <w:rsid w:val="00982425"/>
    <w:rsid w:val="0098257D"/>
    <w:rsid w:val="00986076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1BB9"/>
    <w:rsid w:val="009B393A"/>
    <w:rsid w:val="009B7972"/>
    <w:rsid w:val="009C0DD6"/>
    <w:rsid w:val="009C1B29"/>
    <w:rsid w:val="009D0E88"/>
    <w:rsid w:val="009D24D7"/>
    <w:rsid w:val="009D2DB6"/>
    <w:rsid w:val="009D2F47"/>
    <w:rsid w:val="009D67D9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327CE"/>
    <w:rsid w:val="00A35CA7"/>
    <w:rsid w:val="00A425BA"/>
    <w:rsid w:val="00A4316F"/>
    <w:rsid w:val="00A45FC0"/>
    <w:rsid w:val="00A478A3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3910"/>
    <w:rsid w:val="00A950F4"/>
    <w:rsid w:val="00A97F5A"/>
    <w:rsid w:val="00AB0ED1"/>
    <w:rsid w:val="00AB181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249"/>
    <w:rsid w:val="00AE6E19"/>
    <w:rsid w:val="00AF09A0"/>
    <w:rsid w:val="00AF18CA"/>
    <w:rsid w:val="00AF2AE5"/>
    <w:rsid w:val="00AF3AD9"/>
    <w:rsid w:val="00AF4F1F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226C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01"/>
    <w:rsid w:val="00BB50DE"/>
    <w:rsid w:val="00BB7A89"/>
    <w:rsid w:val="00BC0CB8"/>
    <w:rsid w:val="00BC1B82"/>
    <w:rsid w:val="00BC5978"/>
    <w:rsid w:val="00BD0100"/>
    <w:rsid w:val="00BD297C"/>
    <w:rsid w:val="00BD483C"/>
    <w:rsid w:val="00BD6875"/>
    <w:rsid w:val="00BD7A55"/>
    <w:rsid w:val="00BE00E4"/>
    <w:rsid w:val="00BE21A8"/>
    <w:rsid w:val="00BE2827"/>
    <w:rsid w:val="00BE48B7"/>
    <w:rsid w:val="00BE53BC"/>
    <w:rsid w:val="00BE5574"/>
    <w:rsid w:val="00BE74B4"/>
    <w:rsid w:val="00BE76BE"/>
    <w:rsid w:val="00BF0B84"/>
    <w:rsid w:val="00BF3BB9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37E5"/>
    <w:rsid w:val="00C44924"/>
    <w:rsid w:val="00C461EB"/>
    <w:rsid w:val="00C520D7"/>
    <w:rsid w:val="00C57652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10CF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597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147"/>
    <w:rsid w:val="00D324DA"/>
    <w:rsid w:val="00D32A14"/>
    <w:rsid w:val="00D32B43"/>
    <w:rsid w:val="00D357A4"/>
    <w:rsid w:val="00D36238"/>
    <w:rsid w:val="00D4029D"/>
    <w:rsid w:val="00D477C3"/>
    <w:rsid w:val="00D54E1D"/>
    <w:rsid w:val="00D55406"/>
    <w:rsid w:val="00D633BC"/>
    <w:rsid w:val="00D6458A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E0592"/>
    <w:rsid w:val="00DF431A"/>
    <w:rsid w:val="00DF6D21"/>
    <w:rsid w:val="00E02136"/>
    <w:rsid w:val="00E03E17"/>
    <w:rsid w:val="00E06813"/>
    <w:rsid w:val="00E10053"/>
    <w:rsid w:val="00E27F2F"/>
    <w:rsid w:val="00E30B3F"/>
    <w:rsid w:val="00E315D6"/>
    <w:rsid w:val="00E3317B"/>
    <w:rsid w:val="00E3386F"/>
    <w:rsid w:val="00E350BD"/>
    <w:rsid w:val="00E373B4"/>
    <w:rsid w:val="00E46FA7"/>
    <w:rsid w:val="00E475A0"/>
    <w:rsid w:val="00E479DF"/>
    <w:rsid w:val="00E528C6"/>
    <w:rsid w:val="00E54073"/>
    <w:rsid w:val="00E54596"/>
    <w:rsid w:val="00E56000"/>
    <w:rsid w:val="00E56378"/>
    <w:rsid w:val="00E56F01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77654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C57F2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EF72EA"/>
    <w:rsid w:val="00F00241"/>
    <w:rsid w:val="00F002F6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4ACA"/>
    <w:rsid w:val="00FE797F"/>
    <w:rsid w:val="00FF052C"/>
    <w:rsid w:val="00FF27FB"/>
    <w:rsid w:val="00FF382D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</cp:revision>
  <cp:lastPrinted>2020-02-18T12:08:00Z</cp:lastPrinted>
  <dcterms:created xsi:type="dcterms:W3CDTF">2020-11-30T12:25:00Z</dcterms:created>
  <dcterms:modified xsi:type="dcterms:W3CDTF">2020-11-30T16:33:00Z</dcterms:modified>
</cp:coreProperties>
</file>