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5C42F7FA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764FB6FE" w:rsidR="00BF6F8D" w:rsidRPr="00517111" w:rsidRDefault="00D052E6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E01F2F">
                              <w:rPr>
                                <w:color w:val="BFBFBF" w:themeColor="background1" w:themeShade="BF"/>
                              </w:rPr>
                              <w:t>8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E01F2F">
                              <w:rPr>
                                <w:color w:val="BFBFBF" w:themeColor="background1" w:themeShade="BF"/>
                              </w:rPr>
                              <w:t>11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764FB6FE" w:rsidR="00BF6F8D" w:rsidRPr="00517111" w:rsidRDefault="00D052E6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</w:t>
                      </w:r>
                      <w:r w:rsidR="00E01F2F">
                        <w:rPr>
                          <w:color w:val="BFBFBF" w:themeColor="background1" w:themeShade="BF"/>
                        </w:rPr>
                        <w:t>8</w:t>
                      </w:r>
                      <w:r w:rsidR="00FB15EB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E01F2F">
                        <w:rPr>
                          <w:color w:val="BFBFBF" w:themeColor="background1" w:themeShade="BF"/>
                        </w:rPr>
                        <w:t>11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80502">
        <w:rPr>
          <w:rFonts w:cs="Arial"/>
          <w:b/>
          <w:color w:val="007E79"/>
          <w:sz w:val="28"/>
          <w:szCs w:val="28"/>
        </w:rPr>
        <w:t> vývoji hypotečního trhu</w:t>
      </w:r>
      <w:r w:rsidR="00020FE5">
        <w:rPr>
          <w:rFonts w:cs="Arial"/>
          <w:b/>
          <w:color w:val="007E79"/>
          <w:sz w:val="28"/>
          <w:szCs w:val="28"/>
        </w:rPr>
        <w:t xml:space="preserve"> </w:t>
      </w:r>
      <w:r w:rsidR="00E01F2F">
        <w:rPr>
          <w:rFonts w:cs="Arial"/>
          <w:b/>
          <w:color w:val="007E79"/>
          <w:sz w:val="28"/>
          <w:szCs w:val="28"/>
        </w:rPr>
        <w:t>10</w:t>
      </w:r>
      <w:r w:rsidR="00020FE5">
        <w:rPr>
          <w:rFonts w:cs="Arial"/>
          <w:b/>
          <w:color w:val="007E79"/>
          <w:sz w:val="28"/>
          <w:szCs w:val="28"/>
        </w:rPr>
        <w:t>/2020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E46FA7" w:rsidRDefault="00877706" w:rsidP="002B4617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231E4628" w14:textId="19610B9B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D052E6">
        <w:rPr>
          <w:rFonts w:cs="Arial"/>
          <w:b/>
          <w:color w:val="007E79"/>
          <w:sz w:val="20"/>
        </w:rPr>
        <w:t>1</w:t>
      </w:r>
      <w:r w:rsidR="00E01F2F">
        <w:rPr>
          <w:rFonts w:cs="Arial"/>
          <w:b/>
          <w:color w:val="007E79"/>
          <w:sz w:val="20"/>
        </w:rPr>
        <w:t>8</w:t>
      </w:r>
      <w:r w:rsidR="00FB15EB">
        <w:rPr>
          <w:rFonts w:cs="Arial"/>
          <w:b/>
          <w:color w:val="007E79"/>
          <w:sz w:val="20"/>
        </w:rPr>
        <w:t xml:space="preserve">. </w:t>
      </w:r>
      <w:r w:rsidR="00E01F2F">
        <w:rPr>
          <w:rFonts w:cs="Arial"/>
          <w:b/>
          <w:color w:val="007E79"/>
          <w:sz w:val="20"/>
        </w:rPr>
        <w:t>listopad</w:t>
      </w:r>
      <w:r w:rsidRPr="00E46FA7">
        <w:rPr>
          <w:rFonts w:cs="Arial"/>
          <w:b/>
          <w:color w:val="007E79"/>
          <w:sz w:val="20"/>
        </w:rPr>
        <w:t xml:space="preserve"> 20</w:t>
      </w:r>
      <w:r w:rsidR="00145E7A" w:rsidRPr="00E46FA7">
        <w:rPr>
          <w:rFonts w:cs="Arial"/>
          <w:b/>
          <w:color w:val="007E79"/>
          <w:sz w:val="20"/>
        </w:rPr>
        <w:t>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7F2254A4" w14:textId="1B238AD5" w:rsidR="00E01F2F" w:rsidRPr="00E01F2F" w:rsidRDefault="00E01F2F" w:rsidP="00E01F2F">
      <w:pPr>
        <w:spacing w:line="276" w:lineRule="auto"/>
        <w:rPr>
          <w:sz w:val="20"/>
        </w:rPr>
      </w:pPr>
      <w:bookmarkStart w:id="0" w:name="_Hlk40789160"/>
      <w:r w:rsidRPr="00E01F2F">
        <w:rPr>
          <w:sz w:val="20"/>
        </w:rPr>
        <w:t>Objemy prodejů hypotečních úvěrů v říjnu l</w:t>
      </w:r>
      <w:r w:rsidR="008B2E9A">
        <w:rPr>
          <w:sz w:val="20"/>
        </w:rPr>
        <w:t>etošního roku</w:t>
      </w:r>
      <w:r w:rsidRPr="00E01F2F">
        <w:rPr>
          <w:sz w:val="20"/>
        </w:rPr>
        <w:t xml:space="preserve"> byly zase jednou </w:t>
      </w:r>
      <w:r w:rsidR="008B2E9A" w:rsidRPr="00E01F2F">
        <w:rPr>
          <w:sz w:val="20"/>
        </w:rPr>
        <w:t>rekordní</w:t>
      </w:r>
      <w:r w:rsidR="008B2E9A">
        <w:rPr>
          <w:sz w:val="20"/>
        </w:rPr>
        <w:t xml:space="preserve"> – s</w:t>
      </w:r>
      <w:r w:rsidRPr="00E01F2F">
        <w:rPr>
          <w:sz w:val="20"/>
        </w:rPr>
        <w:t xml:space="preserve"> 25,2 mld. Kč </w:t>
      </w:r>
      <w:r w:rsidR="00BE180E">
        <w:rPr>
          <w:sz w:val="20"/>
        </w:rPr>
        <w:t>jde</w:t>
      </w:r>
      <w:r w:rsidR="008B2E9A">
        <w:rPr>
          <w:sz w:val="20"/>
        </w:rPr>
        <w:t xml:space="preserve"> o</w:t>
      </w:r>
      <w:r w:rsidR="008B2E9A" w:rsidRPr="00E01F2F">
        <w:rPr>
          <w:sz w:val="20"/>
        </w:rPr>
        <w:t xml:space="preserve"> </w:t>
      </w:r>
      <w:r w:rsidRPr="00E01F2F">
        <w:rPr>
          <w:sz w:val="20"/>
        </w:rPr>
        <w:t xml:space="preserve">druhý nejsilnější měsíc v historii </w:t>
      </w:r>
      <w:proofErr w:type="spellStart"/>
      <w:r w:rsidRPr="00E01F2F">
        <w:rPr>
          <w:sz w:val="20"/>
        </w:rPr>
        <w:t>Hypoindexu</w:t>
      </w:r>
      <w:proofErr w:type="spellEnd"/>
      <w:r w:rsidRPr="00E01F2F">
        <w:rPr>
          <w:sz w:val="20"/>
        </w:rPr>
        <w:t xml:space="preserve">. Ten úplně </w:t>
      </w:r>
      <w:proofErr w:type="spellStart"/>
      <w:r w:rsidRPr="00E01F2F">
        <w:rPr>
          <w:sz w:val="20"/>
        </w:rPr>
        <w:t>nejrekordnější</w:t>
      </w:r>
      <w:proofErr w:type="spellEnd"/>
      <w:r w:rsidRPr="00E01F2F">
        <w:rPr>
          <w:sz w:val="20"/>
        </w:rPr>
        <w:t xml:space="preserve"> byl listopad 2016, kdy </w:t>
      </w:r>
      <w:r w:rsidR="00BE180E">
        <w:rPr>
          <w:sz w:val="20"/>
        </w:rPr>
        <w:t>objem prodaných</w:t>
      </w:r>
      <w:r w:rsidRPr="00E01F2F">
        <w:rPr>
          <w:sz w:val="20"/>
        </w:rPr>
        <w:t xml:space="preserve"> </w:t>
      </w:r>
      <w:r w:rsidR="00BE180E">
        <w:rPr>
          <w:sz w:val="20"/>
        </w:rPr>
        <w:t>úvěrů dosáhl</w:t>
      </w:r>
      <w:r w:rsidR="00BC08D4">
        <w:rPr>
          <w:sz w:val="20"/>
        </w:rPr>
        <w:t xml:space="preserve"> </w:t>
      </w:r>
      <w:r w:rsidRPr="00E01F2F">
        <w:rPr>
          <w:sz w:val="20"/>
        </w:rPr>
        <w:t xml:space="preserve">29,7 mld. </w:t>
      </w:r>
      <w:r w:rsidR="00BC08D4">
        <w:rPr>
          <w:sz w:val="20"/>
        </w:rPr>
        <w:t>Kč</w:t>
      </w:r>
      <w:r w:rsidRPr="00E01F2F">
        <w:rPr>
          <w:sz w:val="20"/>
        </w:rPr>
        <w:t xml:space="preserve">. Bylo to těsně před tím, než vstoupil v platnost Zákon o spotřebitelském úvěru. Lidé měli strach, který vydatně živila média, že podle nových podmínek nemusí na „svou“ hypotéku </w:t>
      </w:r>
      <w:r w:rsidR="00CA1957" w:rsidRPr="00E01F2F">
        <w:rPr>
          <w:sz w:val="20"/>
        </w:rPr>
        <w:t>dosáhnout,</w:t>
      </w:r>
      <w:r w:rsidRPr="00E01F2F">
        <w:rPr>
          <w:sz w:val="20"/>
        </w:rPr>
        <w:t xml:space="preserve"> a tak se předzásobili. Banky musí tyhle nákupní paniky milovat… Zajímavé přitom je, že hypoteční trh i po tomto předzásobení</w:t>
      </w:r>
      <w:r w:rsidR="0066473E">
        <w:rPr>
          <w:sz w:val="20"/>
        </w:rPr>
        <w:t xml:space="preserve"> </w:t>
      </w:r>
      <w:r w:rsidRPr="00E01F2F">
        <w:rPr>
          <w:sz w:val="20"/>
        </w:rPr>
        <w:t>pokračoval v boomu.</w:t>
      </w:r>
    </w:p>
    <w:p w14:paraId="63161C6D" w14:textId="77777777" w:rsidR="00E01F2F" w:rsidRPr="00E01F2F" w:rsidRDefault="00E01F2F" w:rsidP="00E01F2F">
      <w:pPr>
        <w:spacing w:line="276" w:lineRule="auto"/>
        <w:rPr>
          <w:sz w:val="20"/>
        </w:rPr>
      </w:pPr>
    </w:p>
    <w:p w14:paraId="624D5D62" w14:textId="4FBC7F72" w:rsidR="00E01F2F" w:rsidRPr="00E01F2F" w:rsidRDefault="00E01F2F" w:rsidP="00E01F2F">
      <w:pPr>
        <w:spacing w:line="276" w:lineRule="auto"/>
        <w:rPr>
          <w:sz w:val="20"/>
        </w:rPr>
      </w:pPr>
      <w:r w:rsidRPr="00E01F2F">
        <w:rPr>
          <w:sz w:val="20"/>
        </w:rPr>
        <w:t>Takže tady máme paniku? Vypadá</w:t>
      </w:r>
      <w:r w:rsidR="00BC08D4">
        <w:rPr>
          <w:sz w:val="20"/>
        </w:rPr>
        <w:t xml:space="preserve"> to</w:t>
      </w:r>
      <w:r w:rsidRPr="00E01F2F">
        <w:rPr>
          <w:sz w:val="20"/>
        </w:rPr>
        <w:t>, že ano. Ceny nemovitostí oproti očekávání řady odborníků a „čekatelů“ na koupi prostě neklesly</w:t>
      </w:r>
      <w:r w:rsidR="00B11271">
        <w:rPr>
          <w:sz w:val="20"/>
        </w:rPr>
        <w:t xml:space="preserve"> a neklesají</w:t>
      </w:r>
      <w:r w:rsidRPr="00E01F2F">
        <w:rPr>
          <w:sz w:val="20"/>
        </w:rPr>
        <w:t>. Spíše naopak. Kromě toho se staví méně bytů, což trh vnímá tak, že ceny půjdou nahoru. Je opravdu až s podivem, jak vlastně nedostupné ceny neodrazují lidi od nákupu. Jenže to bylo za posledních 30</w:t>
      </w:r>
      <w:r w:rsidR="00BC08D4">
        <w:rPr>
          <w:sz w:val="20"/>
        </w:rPr>
        <w:t xml:space="preserve"> let</w:t>
      </w:r>
      <w:r w:rsidRPr="00E01F2F">
        <w:rPr>
          <w:sz w:val="20"/>
        </w:rPr>
        <w:t xml:space="preserve"> vždycky tak. V momentě nákupu se cena bytu nebo domu zdá naprosto nesmyslně drahá. A za pár let už je vidět, že to byla dobrá investice.</w:t>
      </w:r>
    </w:p>
    <w:p w14:paraId="4D0465FF" w14:textId="77777777" w:rsidR="00E01F2F" w:rsidRPr="00E01F2F" w:rsidRDefault="00E01F2F" w:rsidP="00E01F2F">
      <w:pPr>
        <w:spacing w:line="276" w:lineRule="auto"/>
        <w:rPr>
          <w:sz w:val="20"/>
        </w:rPr>
      </w:pPr>
    </w:p>
    <w:p w14:paraId="3CC9C8F8" w14:textId="06106576" w:rsidR="00E01F2F" w:rsidRPr="00E01F2F" w:rsidRDefault="00B11271" w:rsidP="00E01F2F">
      <w:pPr>
        <w:spacing w:line="276" w:lineRule="auto"/>
        <w:rPr>
          <w:sz w:val="20"/>
        </w:rPr>
      </w:pPr>
      <w:r>
        <w:rPr>
          <w:sz w:val="20"/>
        </w:rPr>
        <w:t>L</w:t>
      </w:r>
      <w:r w:rsidR="00E01F2F" w:rsidRPr="00E01F2F">
        <w:rPr>
          <w:sz w:val="20"/>
        </w:rPr>
        <w:t xml:space="preserve">etošní boom se promítá i do průměrné výše hypotéky, která dosáhla 2,865 mil. Kč. Přestože se v říjnu prodalo </w:t>
      </w:r>
      <w:r>
        <w:rPr>
          <w:sz w:val="20"/>
        </w:rPr>
        <w:br/>
      </w:r>
      <w:r w:rsidR="00E01F2F" w:rsidRPr="00E01F2F">
        <w:rPr>
          <w:sz w:val="20"/>
        </w:rPr>
        <w:t>8</w:t>
      </w:r>
      <w:r w:rsidR="00BC08D4">
        <w:rPr>
          <w:sz w:val="20"/>
        </w:rPr>
        <w:t xml:space="preserve"> </w:t>
      </w:r>
      <w:r w:rsidR="00E01F2F" w:rsidRPr="00E01F2F">
        <w:rPr>
          <w:sz w:val="20"/>
        </w:rPr>
        <w:t>800 kusů hypoték</w:t>
      </w:r>
      <w:r w:rsidR="00BC08D4">
        <w:rPr>
          <w:sz w:val="20"/>
        </w:rPr>
        <w:t>,</w:t>
      </w:r>
      <w:r w:rsidR="00E01F2F" w:rsidRPr="00E01F2F">
        <w:rPr>
          <w:sz w:val="20"/>
        </w:rPr>
        <w:t xml:space="preserve"> tj. skoro o tisíc víc než v září, v kusech letošní rok rozhodně rekordní nebude. Za letošek se zatím prodalo 73 tis. ks, což vypadá cca </w:t>
      </w:r>
      <w:r w:rsidRPr="00E01F2F">
        <w:rPr>
          <w:sz w:val="20"/>
        </w:rPr>
        <w:t xml:space="preserve">na </w:t>
      </w:r>
      <w:r w:rsidR="00E01F2F" w:rsidRPr="00E01F2F">
        <w:rPr>
          <w:sz w:val="20"/>
        </w:rPr>
        <w:t>necelých 90 tis.</w:t>
      </w:r>
      <w:r w:rsidR="00BC08D4">
        <w:rPr>
          <w:sz w:val="20"/>
        </w:rPr>
        <w:t xml:space="preserve"> ks</w:t>
      </w:r>
      <w:r w:rsidR="00E01F2F" w:rsidRPr="00E01F2F">
        <w:rPr>
          <w:sz w:val="20"/>
        </w:rPr>
        <w:t xml:space="preserve"> za celý rok. Pro srovnání: v nejsilnějším roce 2016 se prodalo 115 tis. ks hypoték. Nezapomínejme také na stavební spořitelny. Ty prodají za rok kolem 60 tis. kusů úvěrů</w:t>
      </w:r>
      <w:r>
        <w:rPr>
          <w:sz w:val="20"/>
        </w:rPr>
        <w:t xml:space="preserve"> a z</w:t>
      </w:r>
      <w:r w:rsidR="00E01F2F" w:rsidRPr="00E01F2F">
        <w:rPr>
          <w:sz w:val="20"/>
        </w:rPr>
        <w:t xml:space="preserve"> toho je 20 tis. hypoték.</w:t>
      </w:r>
    </w:p>
    <w:p w14:paraId="242FAA10" w14:textId="77777777" w:rsidR="00E01F2F" w:rsidRPr="00E01F2F" w:rsidRDefault="00E01F2F" w:rsidP="00E01F2F">
      <w:pPr>
        <w:spacing w:line="276" w:lineRule="auto"/>
        <w:rPr>
          <w:sz w:val="20"/>
        </w:rPr>
      </w:pPr>
    </w:p>
    <w:p w14:paraId="539BE4BA" w14:textId="3E110542" w:rsidR="00E01F2F" w:rsidRPr="00E01F2F" w:rsidRDefault="00E01F2F" w:rsidP="00E01F2F">
      <w:pPr>
        <w:spacing w:line="276" w:lineRule="auto"/>
        <w:rPr>
          <w:sz w:val="20"/>
        </w:rPr>
      </w:pPr>
      <w:r w:rsidRPr="00E01F2F">
        <w:rPr>
          <w:sz w:val="20"/>
        </w:rPr>
        <w:t xml:space="preserve">Vedle stoupajících cen nemovitostí (i když naštěstí se jejich růst hodně zpomalil) motivuje kupující bezpochyby nízká úroková sazba. Očekával jsem, že v říjnu bude už pod 2 % </w:t>
      </w:r>
      <w:proofErr w:type="spellStart"/>
      <w:r w:rsidRPr="00E01F2F">
        <w:rPr>
          <w:sz w:val="20"/>
        </w:rPr>
        <w:t>p.a</w:t>
      </w:r>
      <w:proofErr w:type="spellEnd"/>
      <w:r w:rsidRPr="00E01F2F">
        <w:rPr>
          <w:sz w:val="20"/>
        </w:rPr>
        <w:t xml:space="preserve">. Spletl jsem se. Průměrná sazba, přestože už </w:t>
      </w:r>
      <w:r w:rsidR="00B11271">
        <w:rPr>
          <w:sz w:val="20"/>
        </w:rPr>
        <w:br/>
      </w:r>
      <w:r w:rsidRPr="00E01F2F">
        <w:rPr>
          <w:sz w:val="20"/>
        </w:rPr>
        <w:t xml:space="preserve">7 měsíců za sebou klesá, se „zastavila“ na 2,02 %. Mám </w:t>
      </w:r>
      <w:r w:rsidR="00BC08D4">
        <w:rPr>
          <w:sz w:val="20"/>
        </w:rPr>
        <w:t xml:space="preserve">však </w:t>
      </w:r>
      <w:r w:rsidRPr="00E01F2F">
        <w:rPr>
          <w:sz w:val="20"/>
        </w:rPr>
        <w:t xml:space="preserve">za to, že 2 % mohou být v příštích měsících prolomeny. Jsem si ovšem jist, že v příštím roce po odeznění </w:t>
      </w:r>
      <w:proofErr w:type="spellStart"/>
      <w:r w:rsidRPr="00E01F2F">
        <w:rPr>
          <w:sz w:val="20"/>
        </w:rPr>
        <w:t>koronaviru</w:t>
      </w:r>
      <w:proofErr w:type="spellEnd"/>
      <w:r w:rsidRPr="00E01F2F">
        <w:rPr>
          <w:sz w:val="20"/>
        </w:rPr>
        <w:t xml:space="preserve"> se trend v důsledku inflačních očekávání a tlaků obrátí. </w:t>
      </w:r>
    </w:p>
    <w:p w14:paraId="1EA2A743" w14:textId="77777777" w:rsidR="00E01F2F" w:rsidRPr="00E01F2F" w:rsidRDefault="00E01F2F" w:rsidP="00E01F2F">
      <w:pPr>
        <w:spacing w:line="276" w:lineRule="auto"/>
        <w:rPr>
          <w:sz w:val="20"/>
        </w:rPr>
      </w:pPr>
    </w:p>
    <w:p w14:paraId="60F77A32" w14:textId="6C715984" w:rsidR="00E01F2F" w:rsidRPr="00E01F2F" w:rsidRDefault="00E01F2F" w:rsidP="00E01F2F">
      <w:pPr>
        <w:spacing w:line="276" w:lineRule="auto"/>
        <w:rPr>
          <w:sz w:val="20"/>
        </w:rPr>
      </w:pPr>
      <w:r w:rsidRPr="00E01F2F">
        <w:rPr>
          <w:sz w:val="20"/>
        </w:rPr>
        <w:t xml:space="preserve">Přijde příští rok ochlazení a objemy prodejů se vrátí k „normálu“? Ano. </w:t>
      </w:r>
      <w:r w:rsidR="00BC08D4">
        <w:rPr>
          <w:sz w:val="20"/>
        </w:rPr>
        <w:t>Nemovitosti</w:t>
      </w:r>
      <w:r w:rsidR="00BC08D4" w:rsidRPr="00E01F2F">
        <w:rPr>
          <w:sz w:val="20"/>
        </w:rPr>
        <w:t xml:space="preserve"> </w:t>
      </w:r>
      <w:r w:rsidRPr="00E01F2F">
        <w:rPr>
          <w:sz w:val="20"/>
        </w:rPr>
        <w:t>se stávají stále nedostupnější. Úrokové sazby půjdou nahoru. A věřím tomu, že na trhu bude větší nabídka.</w:t>
      </w:r>
    </w:p>
    <w:p w14:paraId="55F709F3" w14:textId="77777777" w:rsidR="00BD6FDA" w:rsidRPr="00F236DC" w:rsidRDefault="00BD6FDA" w:rsidP="00BD6FDA">
      <w:pPr>
        <w:spacing w:line="276" w:lineRule="auto"/>
        <w:rPr>
          <w:szCs w:val="18"/>
        </w:rPr>
      </w:pPr>
    </w:p>
    <w:bookmarkEnd w:id="0"/>
    <w:p w14:paraId="460CD96D" w14:textId="39272AEA" w:rsidR="00226F32" w:rsidRPr="00CA1957" w:rsidRDefault="00020FE5" w:rsidP="00BD483C">
      <w:pPr>
        <w:spacing w:after="120" w:line="276" w:lineRule="auto"/>
        <w:contextualSpacing/>
        <w:rPr>
          <w:b/>
          <w:bCs/>
          <w:i/>
          <w:iCs/>
          <w:sz w:val="16"/>
          <w:szCs w:val="16"/>
        </w:rPr>
      </w:pPr>
      <w:r w:rsidRPr="00CA1957">
        <w:rPr>
          <w:rFonts w:cs="Arial"/>
          <w:i/>
          <w:iCs/>
          <w:sz w:val="16"/>
          <w:szCs w:val="16"/>
        </w:rPr>
        <w:t xml:space="preserve">(*Autor vycházel z dat </w:t>
      </w:r>
      <w:proofErr w:type="spellStart"/>
      <w:r w:rsidRPr="00CA1957">
        <w:rPr>
          <w:rFonts w:cs="Arial"/>
          <w:i/>
          <w:iCs/>
          <w:sz w:val="16"/>
          <w:szCs w:val="16"/>
        </w:rPr>
        <w:t>F</w:t>
      </w:r>
      <w:r w:rsidR="00B51364" w:rsidRPr="00CA1957">
        <w:rPr>
          <w:rFonts w:cs="Arial"/>
          <w:i/>
          <w:iCs/>
          <w:sz w:val="16"/>
          <w:szCs w:val="16"/>
        </w:rPr>
        <w:t>i</w:t>
      </w:r>
      <w:r w:rsidRPr="00CA1957">
        <w:rPr>
          <w:rFonts w:cs="Arial"/>
          <w:i/>
          <w:iCs/>
          <w:sz w:val="16"/>
          <w:szCs w:val="16"/>
        </w:rPr>
        <w:t>ncentrum</w:t>
      </w:r>
      <w:proofErr w:type="spellEnd"/>
      <w:r w:rsidRPr="00CA1957">
        <w:rPr>
          <w:rFonts w:cs="Arial"/>
          <w:i/>
          <w:iCs/>
          <w:sz w:val="16"/>
          <w:szCs w:val="16"/>
        </w:rPr>
        <w:t xml:space="preserve"> </w:t>
      </w:r>
      <w:proofErr w:type="spellStart"/>
      <w:r w:rsidR="00B51364" w:rsidRPr="00CA1957">
        <w:rPr>
          <w:rFonts w:cs="Arial"/>
          <w:i/>
          <w:iCs/>
          <w:sz w:val="16"/>
          <w:szCs w:val="16"/>
        </w:rPr>
        <w:t>H</w:t>
      </w:r>
      <w:r w:rsidRPr="00CA1957">
        <w:rPr>
          <w:rFonts w:cs="Arial"/>
          <w:i/>
          <w:iCs/>
          <w:sz w:val="16"/>
          <w:szCs w:val="16"/>
        </w:rPr>
        <w:t>ypoindex</w:t>
      </w:r>
      <w:proofErr w:type="spellEnd"/>
      <w:r w:rsidRPr="00CA1957">
        <w:rPr>
          <w:rFonts w:cs="Arial"/>
          <w:i/>
          <w:iCs/>
          <w:sz w:val="16"/>
          <w:szCs w:val="16"/>
        </w:rPr>
        <w:t xml:space="preserve"> </w:t>
      </w:r>
      <w:r w:rsidR="0066473E">
        <w:rPr>
          <w:rFonts w:cs="Arial"/>
          <w:i/>
          <w:iCs/>
          <w:sz w:val="16"/>
          <w:szCs w:val="16"/>
        </w:rPr>
        <w:t>říjen</w:t>
      </w:r>
      <w:r w:rsidR="0066473E" w:rsidRPr="00CA1957">
        <w:rPr>
          <w:rFonts w:cs="Arial"/>
          <w:i/>
          <w:iCs/>
          <w:sz w:val="16"/>
          <w:szCs w:val="16"/>
        </w:rPr>
        <w:t xml:space="preserve"> </w:t>
      </w:r>
      <w:r w:rsidRPr="00CA1957">
        <w:rPr>
          <w:rFonts w:cs="Arial"/>
          <w:i/>
          <w:iCs/>
          <w:sz w:val="16"/>
          <w:szCs w:val="16"/>
        </w:rPr>
        <w:t xml:space="preserve">2020 dostupných zde: </w:t>
      </w:r>
      <w:hyperlink r:id="rId8" w:tgtFrame="_blank" w:history="1">
        <w:r w:rsidRPr="00CA1957">
          <w:rPr>
            <w:rStyle w:val="Hypertextovodkaz"/>
            <w:b/>
            <w:bCs/>
            <w:i/>
            <w:iCs/>
            <w:sz w:val="16"/>
            <w:szCs w:val="16"/>
          </w:rPr>
          <w:t>http://www.hypoindex.cz/</w:t>
        </w:r>
      </w:hyperlink>
      <w:r w:rsidRPr="00CA1957">
        <w:rPr>
          <w:b/>
          <w:bCs/>
          <w:i/>
          <w:iCs/>
          <w:sz w:val="16"/>
          <w:szCs w:val="16"/>
        </w:rPr>
        <w:t>)</w:t>
      </w:r>
      <w:r w:rsidR="00E46FA7" w:rsidRPr="00CA1957">
        <w:rPr>
          <w:b/>
          <w:bCs/>
          <w:i/>
          <w:iCs/>
          <w:sz w:val="16"/>
          <w:szCs w:val="16"/>
        </w:rPr>
        <w:t xml:space="preserve">. </w:t>
      </w:r>
    </w:p>
    <w:p w14:paraId="75FE0E79" w14:textId="48177871" w:rsidR="00BA1F8A" w:rsidRPr="00E27F2F" w:rsidRDefault="00BA1F8A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6197E8FD">
                <wp:simplePos x="0" y="0"/>
                <wp:positionH relativeFrom="margin">
                  <wp:posOffset>15875</wp:posOffset>
                </wp:positionH>
                <wp:positionV relativeFrom="paragraph">
                  <wp:posOffset>66675</wp:posOffset>
                </wp:positionV>
                <wp:extent cx="6574790" cy="15621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Pr="00CA1957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1F5CF7"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autorovi</w:t>
                            </w:r>
                            <w:r w:rsidR="00877706"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Pr="00CA1957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Vladimír Staňura</w:t>
                            </w:r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School</w:t>
                            </w:r>
                            <w:proofErr w:type="spellEnd"/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Pr="00CA1957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CA1957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1.25pt;margin-top:5.25pt;width:517.7pt;height:12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" fillcolor="#bfbfbf [2412]" stroked="f" strokeweight="1pt">
                <v:textbox inset="3mm,3mm,3mm,3mm">
                  <w:txbxContent>
                    <w:p w14:paraId="2B095F62" w14:textId="77777777" w:rsidR="0065124E" w:rsidRPr="00CA1957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O </w:t>
                      </w:r>
                      <w:r w:rsidR="001F5CF7"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>autorovi</w:t>
                      </w:r>
                      <w:r w:rsidR="00877706"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komentáře</w:t>
                      </w:r>
                    </w:p>
                    <w:p w14:paraId="219CFB95" w14:textId="77777777" w:rsidR="00873451" w:rsidRPr="00CA1957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19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Vladimír Staňura</w:t>
                      </w:r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School</w:t>
                      </w:r>
                      <w:proofErr w:type="spellEnd"/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Pr="00CA1957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CA1957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195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1241D935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5A4380E4" w:rsidR="00FF052C" w:rsidRPr="00E27F2F" w:rsidRDefault="00CA1957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22234423">
                <wp:simplePos x="0" y="0"/>
                <wp:positionH relativeFrom="margin">
                  <wp:posOffset>4397375</wp:posOffset>
                </wp:positionH>
                <wp:positionV relativeFrom="paragraph">
                  <wp:posOffset>38736</wp:posOffset>
                </wp:positionV>
                <wp:extent cx="2198370" cy="133731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33731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CA1957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CA1957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CF1F6FB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CA1957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</w:t>
                            </w:r>
                            <w:r w:rsidR="0065124E"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petraskova@</w:t>
                            </w:r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cbaonline</w:t>
                            </w:r>
                            <w:r w:rsidR="0065124E"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.cz</w:t>
                            </w:r>
                          </w:p>
                          <w:p w14:paraId="1CB50E15" w14:textId="77777777" w:rsidR="0065124E" w:rsidRPr="00CA1957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6.25pt;margin-top:3.05pt;width:173.1pt;height:105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CA1957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63BD2C87" w14:textId="77777777" w:rsidR="0065124E" w:rsidRPr="00CA1957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6B6215FA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CF1F6FB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599CC908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6ED92D8B" w14:textId="05ECC234" w:rsidR="0065124E" w:rsidRPr="00CA1957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</w:t>
                      </w:r>
                      <w:r w:rsidR="0065124E"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petraskova@</w:t>
                      </w:r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cbaonline</w:t>
                      </w:r>
                      <w:r w:rsidR="0065124E"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.cz</w:t>
                      </w:r>
                    </w:p>
                    <w:p w14:paraId="1CB50E15" w14:textId="77777777" w:rsidR="0065124E" w:rsidRPr="00CA1957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4F87ED4C">
                <wp:simplePos x="0" y="0"/>
                <wp:positionH relativeFrom="margin">
                  <wp:posOffset>15875</wp:posOffset>
                </wp:positionH>
                <wp:positionV relativeFrom="paragraph">
                  <wp:posOffset>38735</wp:posOffset>
                </wp:positionV>
                <wp:extent cx="4322445" cy="133731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337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CA1957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63AAED65" w14:textId="5AAC08E4" w:rsidR="0065124E" w:rsidRPr="00CA1957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E01F2F"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>40</w:t>
                            </w: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A1957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A1957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A1957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1.25pt;margin-top:3.05pt;width:340.35pt;height:105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" fillcolor="#bfbfbf [2412]" stroked="f" strokeweight="1pt">
                <v:textbox inset="3mm,3mm,3mm,3mm">
                  <w:txbxContent>
                    <w:p w14:paraId="7E6E2C6A" w14:textId="77777777" w:rsidR="0065124E" w:rsidRPr="00CA1957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63AAED65" w14:textId="5AAC08E4" w:rsidR="0065124E" w:rsidRPr="00CA1957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E01F2F" w:rsidRPr="00CA1957">
                        <w:rPr>
                          <w:rFonts w:cs="Arial"/>
                          <w:sz w:val="16"/>
                          <w:szCs w:val="16"/>
                        </w:rPr>
                        <w:t>40</w:t>
                      </w: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A1957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A1957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A1957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B9AF6B" w14:textId="74C59073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64337542" w:rsidR="00B85546" w:rsidRPr="00CA1957" w:rsidRDefault="00B85546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sectPr w:rsidR="00B85546" w:rsidRPr="00CA1957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9F7CC" w14:textId="77777777" w:rsidR="009A67A1" w:rsidRDefault="009A67A1" w:rsidP="00F573F1">
      <w:r>
        <w:separator/>
      </w:r>
    </w:p>
  </w:endnote>
  <w:endnote w:type="continuationSeparator" w:id="0">
    <w:p w14:paraId="1B7FA990" w14:textId="77777777" w:rsidR="009A67A1" w:rsidRDefault="009A67A1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07E98" w14:textId="77777777" w:rsidR="009A67A1" w:rsidRDefault="009A67A1" w:rsidP="00F573F1">
      <w:r>
        <w:separator/>
      </w:r>
    </w:p>
  </w:footnote>
  <w:footnote w:type="continuationSeparator" w:id="0">
    <w:p w14:paraId="27AA6886" w14:textId="77777777" w:rsidR="009A67A1" w:rsidRDefault="009A67A1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9774E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7407"/>
    <w:rsid w:val="00327CB6"/>
    <w:rsid w:val="00335341"/>
    <w:rsid w:val="00341D86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62FBA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0762A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5438"/>
    <w:rsid w:val="00B2310C"/>
    <w:rsid w:val="00B242B1"/>
    <w:rsid w:val="00B24E54"/>
    <w:rsid w:val="00B27646"/>
    <w:rsid w:val="00B377F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052E6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oindex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32</cp:revision>
  <cp:lastPrinted>2020-09-16T06:48:00Z</cp:lastPrinted>
  <dcterms:created xsi:type="dcterms:W3CDTF">2020-05-19T13:52:00Z</dcterms:created>
  <dcterms:modified xsi:type="dcterms:W3CDTF">2020-11-17T16:48:00Z</dcterms:modified>
</cp:coreProperties>
</file>