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1B59" w14:textId="1DFAA72C" w:rsidR="009139AF" w:rsidRPr="009139AF" w:rsidRDefault="009139AF" w:rsidP="009139AF">
      <w:pPr>
        <w:rPr>
          <w:rFonts w:cs="Arial"/>
          <w:b/>
          <w:color w:val="007E79"/>
          <w:sz w:val="32"/>
          <w:szCs w:val="28"/>
        </w:rPr>
      </w:pPr>
      <w:r w:rsidRPr="00F615B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BBDBD55">
                <wp:simplePos x="0" y="0"/>
                <wp:positionH relativeFrom="margin">
                  <wp:posOffset>5181600</wp:posOffset>
                </wp:positionH>
                <wp:positionV relativeFrom="paragraph">
                  <wp:posOffset>-944245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77777777" w:rsidR="00BD7B5A" w:rsidRDefault="00BD7B5A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7B5C894C" w:rsidR="00BD7B5A" w:rsidRPr="00517111" w:rsidRDefault="00BD7B5A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 w:rsidR="00DD5178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DD5178">
                              <w:rPr>
                                <w:color w:val="BFBFBF" w:themeColor="background1" w:themeShade="BF"/>
                              </w:rPr>
                              <w:t>10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8pt;margin-top:-74.3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Pvf5AvgAAAADAEAAA8AAAAAAAAAAAAAAAAAbQQAAGRycy9kb3ducmV2LnhtbFBLBQYAAAAA&#10;BAAEAPMAAAB6BQAAAAA=&#10;" filled="f" stroked="f">
                <v:textbox style="mso-fit-shape-to-text:t">
                  <w:txbxContent>
                    <w:p w14:paraId="093A89A6" w14:textId="77777777" w:rsidR="00BD7B5A" w:rsidRDefault="00BD7B5A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7B5C894C" w:rsidR="00BD7B5A" w:rsidRPr="00517111" w:rsidRDefault="00BD7B5A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</w:t>
                      </w:r>
                      <w:r w:rsidR="00DD5178">
                        <w:rPr>
                          <w:color w:val="BFBFBF" w:themeColor="background1" w:themeShade="BF"/>
                        </w:rPr>
                        <w:t>9</w:t>
                      </w:r>
                      <w:r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DD5178">
                        <w:rPr>
                          <w:color w:val="BFBFBF" w:themeColor="background1" w:themeShade="BF"/>
                        </w:rPr>
                        <w:t>10</w:t>
                      </w:r>
                      <w:r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4048">
        <w:rPr>
          <w:rFonts w:cs="Arial"/>
          <w:b/>
          <w:color w:val="007E79"/>
          <w:sz w:val="32"/>
          <w:szCs w:val="28"/>
        </w:rPr>
        <w:t>M</w:t>
      </w:r>
      <w:r w:rsidRPr="009139AF">
        <w:rPr>
          <w:rFonts w:cs="Arial"/>
          <w:b/>
          <w:color w:val="007E79"/>
          <w:sz w:val="32"/>
          <w:szCs w:val="28"/>
        </w:rPr>
        <w:t>AKROEKONOMICKÁ PROGNÓZA ČESKÉ BANKOVNÍ ASOCIACE</w:t>
      </w:r>
    </w:p>
    <w:p w14:paraId="6C97E5AB" w14:textId="3FFECB2F" w:rsidR="00F32F3A" w:rsidRPr="006B03F0" w:rsidRDefault="00DE3055" w:rsidP="006478ED">
      <w:pPr>
        <w:rPr>
          <w:rFonts w:cs="Arial"/>
          <w:b/>
          <w:color w:val="007E79"/>
          <w:sz w:val="24"/>
          <w:szCs w:val="32"/>
        </w:rPr>
      </w:pPr>
      <w:r w:rsidRPr="006B03F0">
        <w:rPr>
          <w:rFonts w:cs="Arial"/>
          <w:b/>
          <w:color w:val="007E79"/>
          <w:sz w:val="24"/>
          <w:szCs w:val="32"/>
        </w:rPr>
        <w:t>K vývoji českého hospodářství z pohledu bankovního sektoru na Q4 a dále </w:t>
      </w:r>
    </w:p>
    <w:p w14:paraId="59992F64" w14:textId="77777777" w:rsidR="00DE3055" w:rsidRPr="003401BC" w:rsidRDefault="00DE3055" w:rsidP="006478ED">
      <w:pPr>
        <w:rPr>
          <w:rFonts w:cs="Arial"/>
          <w:b/>
          <w:color w:val="007E79"/>
          <w:szCs w:val="22"/>
        </w:rPr>
      </w:pPr>
    </w:p>
    <w:p w14:paraId="74EE6B76" w14:textId="08D2B0F2" w:rsidR="00F56999" w:rsidRPr="000F790F" w:rsidRDefault="009139AF" w:rsidP="006478ED">
      <w:pPr>
        <w:rPr>
          <w:rFonts w:cs="Arial"/>
          <w:b/>
          <w:color w:val="007E79"/>
          <w:sz w:val="20"/>
          <w:szCs w:val="24"/>
        </w:rPr>
      </w:pPr>
      <w:r w:rsidRPr="000F790F">
        <w:rPr>
          <w:rFonts w:cs="Arial"/>
          <w:b/>
          <w:color w:val="007E79"/>
          <w:szCs w:val="22"/>
        </w:rPr>
        <w:t xml:space="preserve">Praha, </w:t>
      </w:r>
      <w:r w:rsidR="00F32F3A" w:rsidRPr="000F790F">
        <w:rPr>
          <w:rFonts w:cs="Arial"/>
          <w:b/>
          <w:color w:val="007E79"/>
          <w:szCs w:val="22"/>
        </w:rPr>
        <w:t>2</w:t>
      </w:r>
      <w:r w:rsidR="00DD5178" w:rsidRPr="000F790F">
        <w:rPr>
          <w:rFonts w:cs="Arial"/>
          <w:b/>
          <w:color w:val="007E79"/>
          <w:szCs w:val="22"/>
        </w:rPr>
        <w:t>9</w:t>
      </w:r>
      <w:r w:rsidRPr="000F790F">
        <w:rPr>
          <w:rFonts w:cs="Arial"/>
          <w:b/>
          <w:color w:val="007E79"/>
          <w:szCs w:val="22"/>
        </w:rPr>
        <w:t xml:space="preserve">. </w:t>
      </w:r>
      <w:r w:rsidR="00DD5178" w:rsidRPr="000F790F">
        <w:rPr>
          <w:rFonts w:cs="Arial"/>
          <w:b/>
          <w:color w:val="007E79"/>
          <w:szCs w:val="22"/>
        </w:rPr>
        <w:t>října</w:t>
      </w:r>
      <w:r w:rsidRPr="000F790F">
        <w:rPr>
          <w:rFonts w:cs="Arial"/>
          <w:b/>
          <w:color w:val="007E79"/>
          <w:szCs w:val="22"/>
        </w:rPr>
        <w:t xml:space="preserve"> 20</w:t>
      </w:r>
      <w:r w:rsidR="007F6300" w:rsidRPr="000F790F">
        <w:rPr>
          <w:rFonts w:cs="Arial"/>
          <w:b/>
          <w:color w:val="007E79"/>
          <w:szCs w:val="22"/>
        </w:rPr>
        <w:t>20</w:t>
      </w:r>
      <w:r w:rsidRPr="000F790F">
        <w:rPr>
          <w:rFonts w:cs="Arial"/>
          <w:b/>
          <w:color w:val="007E79"/>
          <w:szCs w:val="22"/>
        </w:rPr>
        <w:t xml:space="preserve"> </w:t>
      </w:r>
      <w:r w:rsidR="004D63E3">
        <w:rPr>
          <w:rFonts w:cs="Arial"/>
          <w:b/>
          <w:color w:val="007E79"/>
          <w:szCs w:val="22"/>
        </w:rPr>
        <w:t>-</w:t>
      </w:r>
      <w:r w:rsidR="000766D5">
        <w:rPr>
          <w:rFonts w:cs="Arial"/>
          <w:b/>
          <w:color w:val="007E79"/>
          <w:szCs w:val="22"/>
        </w:rPr>
        <w:t xml:space="preserve"> </w:t>
      </w:r>
      <w:r w:rsidR="003727EB" w:rsidRPr="000F790F">
        <w:rPr>
          <w:rFonts w:cs="Arial"/>
          <w:b/>
          <w:color w:val="007E79"/>
          <w:szCs w:val="22"/>
        </w:rPr>
        <w:t xml:space="preserve">Hlavní ekonomové bank zastoupení v prognostickém panelu České bankovní asociace (ČBA) </w:t>
      </w:r>
      <w:r w:rsidR="00EA6FE9" w:rsidRPr="000F790F">
        <w:rPr>
          <w:rFonts w:cs="Arial"/>
          <w:b/>
          <w:color w:val="007E79"/>
          <w:szCs w:val="22"/>
        </w:rPr>
        <w:t>s  vědomím</w:t>
      </w:r>
      <w:r w:rsidR="004D63E3">
        <w:rPr>
          <w:rFonts w:cs="Arial"/>
          <w:b/>
          <w:color w:val="007E79"/>
          <w:szCs w:val="22"/>
        </w:rPr>
        <w:t xml:space="preserve"> </w:t>
      </w:r>
      <w:r w:rsidR="00062A8A">
        <w:rPr>
          <w:rFonts w:cs="Arial"/>
          <w:b/>
          <w:color w:val="007E79"/>
          <w:szCs w:val="22"/>
        </w:rPr>
        <w:t>nejistot způsobených nepředvídatelností vývoje pandemie</w:t>
      </w:r>
      <w:r w:rsidR="00EA6FE9" w:rsidRPr="000F790F">
        <w:rPr>
          <w:rFonts w:cs="Arial"/>
          <w:b/>
          <w:color w:val="007E79"/>
          <w:szCs w:val="22"/>
        </w:rPr>
        <w:t xml:space="preserve"> </w:t>
      </w:r>
      <w:r w:rsidR="003727EB" w:rsidRPr="000F790F">
        <w:rPr>
          <w:rFonts w:cs="Arial"/>
          <w:b/>
          <w:color w:val="007E79"/>
          <w:szCs w:val="22"/>
        </w:rPr>
        <w:t xml:space="preserve">revidovali </w:t>
      </w:r>
      <w:r w:rsidR="004D63E3">
        <w:rPr>
          <w:rFonts w:cs="Arial"/>
          <w:b/>
          <w:color w:val="007E79"/>
          <w:szCs w:val="22"/>
        </w:rPr>
        <w:t xml:space="preserve">svůj </w:t>
      </w:r>
      <w:r w:rsidR="003727EB" w:rsidRPr="000F790F">
        <w:rPr>
          <w:rFonts w:cs="Arial"/>
          <w:b/>
          <w:color w:val="007E79"/>
          <w:szCs w:val="22"/>
        </w:rPr>
        <w:t>červencový odhad hloubky poklesu ekonomické aktivity</w:t>
      </w:r>
      <w:r w:rsidR="00553FBC">
        <w:rPr>
          <w:rFonts w:cs="Arial"/>
          <w:b/>
          <w:color w:val="007E79"/>
          <w:szCs w:val="22"/>
        </w:rPr>
        <w:t xml:space="preserve"> v ČR</w:t>
      </w:r>
      <w:r w:rsidR="007075B3" w:rsidRPr="000F790F">
        <w:rPr>
          <w:rFonts w:cs="Arial"/>
          <w:b/>
          <w:color w:val="007E79"/>
          <w:szCs w:val="22"/>
        </w:rPr>
        <w:t xml:space="preserve"> </w:t>
      </w:r>
      <w:r w:rsidR="004D63E3">
        <w:rPr>
          <w:rFonts w:cs="Arial"/>
          <w:b/>
          <w:color w:val="007E79"/>
          <w:szCs w:val="22"/>
        </w:rPr>
        <w:t>z</w:t>
      </w:r>
      <w:r w:rsidR="00553FBC">
        <w:rPr>
          <w:rFonts w:cs="Arial"/>
          <w:b/>
          <w:color w:val="007E79"/>
          <w:szCs w:val="22"/>
        </w:rPr>
        <w:t xml:space="preserve">e 7,5 </w:t>
      </w:r>
      <w:r w:rsidR="003727EB" w:rsidRPr="000F790F">
        <w:rPr>
          <w:rFonts w:cs="Arial"/>
          <w:b/>
          <w:color w:val="007E79"/>
          <w:szCs w:val="22"/>
        </w:rPr>
        <w:t>na</w:t>
      </w:r>
      <w:r w:rsidR="004F1275" w:rsidRPr="000F790F">
        <w:rPr>
          <w:rFonts w:cs="Arial"/>
          <w:b/>
          <w:color w:val="007E79"/>
          <w:szCs w:val="22"/>
        </w:rPr>
        <w:t xml:space="preserve"> 8 %</w:t>
      </w:r>
      <w:r w:rsidR="00553FBC">
        <w:rPr>
          <w:rFonts w:cs="Arial"/>
          <w:b/>
          <w:color w:val="007E79"/>
          <w:szCs w:val="22"/>
        </w:rPr>
        <w:t xml:space="preserve">. Tato mírná úprava ovšem velmi kontrastuje s tím, nakolik </w:t>
      </w:r>
      <w:r w:rsidR="007075B3" w:rsidRPr="000F790F">
        <w:rPr>
          <w:rFonts w:cs="Arial"/>
          <w:b/>
          <w:color w:val="007E79"/>
          <w:szCs w:val="22"/>
        </w:rPr>
        <w:t xml:space="preserve">zároveň </w:t>
      </w:r>
      <w:r w:rsidR="003727EB" w:rsidRPr="000F790F">
        <w:rPr>
          <w:rFonts w:cs="Arial"/>
          <w:b/>
          <w:color w:val="007E79"/>
          <w:szCs w:val="22"/>
        </w:rPr>
        <w:t>snížili odhad jejího růstu v roce příštím</w:t>
      </w:r>
      <w:r w:rsidR="00553FBC">
        <w:rPr>
          <w:rFonts w:cs="Arial"/>
          <w:b/>
          <w:color w:val="007E79"/>
          <w:szCs w:val="22"/>
        </w:rPr>
        <w:t>:</w:t>
      </w:r>
      <w:r w:rsidR="003727EB" w:rsidRPr="000F790F">
        <w:rPr>
          <w:rFonts w:cs="Arial"/>
          <w:b/>
          <w:color w:val="007E79"/>
          <w:szCs w:val="22"/>
        </w:rPr>
        <w:t xml:space="preserve"> z</w:t>
      </w:r>
      <w:r w:rsidR="004F1275" w:rsidRPr="000F790F">
        <w:rPr>
          <w:rFonts w:cs="Arial"/>
          <w:b/>
          <w:color w:val="007E79"/>
          <w:szCs w:val="22"/>
        </w:rPr>
        <w:t> 5,3 %</w:t>
      </w:r>
      <w:r w:rsidR="003727EB" w:rsidRPr="000F790F">
        <w:rPr>
          <w:rFonts w:cs="Arial"/>
          <w:b/>
          <w:color w:val="007E79"/>
          <w:szCs w:val="22"/>
        </w:rPr>
        <w:t xml:space="preserve"> na</w:t>
      </w:r>
      <w:r w:rsidR="004F1275" w:rsidRPr="000F790F">
        <w:rPr>
          <w:rFonts w:cs="Arial"/>
          <w:b/>
          <w:color w:val="007E79"/>
          <w:szCs w:val="22"/>
        </w:rPr>
        <w:t xml:space="preserve"> 2 %</w:t>
      </w:r>
      <w:r w:rsidR="00553FBC">
        <w:rPr>
          <w:rFonts w:cs="Arial"/>
          <w:b/>
          <w:color w:val="007E79"/>
          <w:szCs w:val="22"/>
        </w:rPr>
        <w:t>!</w:t>
      </w:r>
      <w:r w:rsidR="003727EB" w:rsidRPr="000F790F">
        <w:rPr>
          <w:rFonts w:cs="Arial"/>
          <w:b/>
          <w:color w:val="007E79"/>
          <w:szCs w:val="22"/>
        </w:rPr>
        <w:t xml:space="preserve"> </w:t>
      </w:r>
      <w:r w:rsidR="00EA6FE9" w:rsidRPr="000F790F">
        <w:rPr>
          <w:rFonts w:cs="Arial"/>
          <w:b/>
          <w:color w:val="007E79"/>
          <w:szCs w:val="22"/>
        </w:rPr>
        <w:t xml:space="preserve">Zároveň konstatovali, </w:t>
      </w:r>
      <w:r w:rsidR="003727EB" w:rsidRPr="000F790F">
        <w:rPr>
          <w:rFonts w:cs="Arial"/>
          <w:b/>
          <w:color w:val="007E79"/>
          <w:szCs w:val="22"/>
        </w:rPr>
        <w:t xml:space="preserve">že na úroveň výkonu před krizí se česká ekonomika dostane </w:t>
      </w:r>
      <w:r w:rsidR="00EA6FE9" w:rsidRPr="000F790F">
        <w:rPr>
          <w:rFonts w:cs="Arial"/>
          <w:b/>
          <w:color w:val="007E79"/>
          <w:szCs w:val="22"/>
        </w:rPr>
        <w:t xml:space="preserve">nejspíš </w:t>
      </w:r>
      <w:r w:rsidR="003727EB" w:rsidRPr="000F790F">
        <w:rPr>
          <w:rFonts w:cs="Arial"/>
          <w:b/>
          <w:color w:val="007E79"/>
          <w:szCs w:val="22"/>
        </w:rPr>
        <w:t xml:space="preserve">teprve v roce 2023, tedy téměř o rok později, než </w:t>
      </w:r>
      <w:r w:rsidR="00EA6FE9" w:rsidRPr="000F790F">
        <w:rPr>
          <w:rFonts w:cs="Arial"/>
          <w:b/>
          <w:color w:val="007E79"/>
          <w:szCs w:val="22"/>
        </w:rPr>
        <w:t xml:space="preserve">jak </w:t>
      </w:r>
      <w:r w:rsidR="003727EB" w:rsidRPr="000F790F">
        <w:rPr>
          <w:rFonts w:cs="Arial"/>
          <w:b/>
          <w:color w:val="007E79"/>
          <w:szCs w:val="22"/>
        </w:rPr>
        <w:t>předpokládali ještě v létě.</w:t>
      </w:r>
    </w:p>
    <w:p w14:paraId="64ACE30A" w14:textId="3D1232D5" w:rsidR="004D63E3" w:rsidRDefault="004D63E3" w:rsidP="00595CAD">
      <w:pPr>
        <w:rPr>
          <w:szCs w:val="18"/>
        </w:rPr>
      </w:pPr>
    </w:p>
    <w:p w14:paraId="1925BD96" w14:textId="0EB4F4D6" w:rsidR="00062A8A" w:rsidRDefault="00062A8A" w:rsidP="00062A8A">
      <w:pPr>
        <w:rPr>
          <w:szCs w:val="18"/>
        </w:rPr>
      </w:pPr>
    </w:p>
    <w:p w14:paraId="3AD14CDA" w14:textId="74B41D45" w:rsidR="00062A8A" w:rsidRDefault="00062A8A" w:rsidP="00595CAD">
      <w:pPr>
        <w:rPr>
          <w:szCs w:val="18"/>
        </w:rPr>
      </w:pPr>
      <w:r w:rsidRPr="004D63E3">
        <w:rPr>
          <w:szCs w:val="18"/>
        </w:rPr>
        <w:t>Ještě v létě se zdálo, že nejhorší období má</w:t>
      </w:r>
      <w:r>
        <w:rPr>
          <w:szCs w:val="18"/>
        </w:rPr>
        <w:t xml:space="preserve"> česká ekonomika letos</w:t>
      </w:r>
      <w:r w:rsidRPr="004D63E3">
        <w:rPr>
          <w:szCs w:val="18"/>
        </w:rPr>
        <w:t xml:space="preserve"> </w:t>
      </w:r>
      <w:r>
        <w:rPr>
          <w:szCs w:val="18"/>
        </w:rPr>
        <w:t>již</w:t>
      </w:r>
      <w:r w:rsidRPr="004D63E3">
        <w:rPr>
          <w:szCs w:val="18"/>
        </w:rPr>
        <w:t xml:space="preserve"> za sebou a hospodářský pokles vyvolaný pandemií </w:t>
      </w:r>
      <w:proofErr w:type="spellStart"/>
      <w:r w:rsidRPr="004D63E3">
        <w:rPr>
          <w:szCs w:val="18"/>
        </w:rPr>
        <w:t>koronaviru</w:t>
      </w:r>
      <w:proofErr w:type="spellEnd"/>
      <w:r w:rsidRPr="004D63E3">
        <w:rPr>
          <w:szCs w:val="18"/>
        </w:rPr>
        <w:t xml:space="preserve"> zůstane jarní epizodou, která se na grafu růstu HDP projeví sice hlubokým, zato krátkodobým poklesem ve tvaru „V“</w:t>
      </w:r>
      <w:r>
        <w:rPr>
          <w:szCs w:val="18"/>
        </w:rPr>
        <w:t xml:space="preserve">, jehož dno se nacházelo </w:t>
      </w:r>
      <w:r w:rsidRPr="004D63E3">
        <w:rPr>
          <w:szCs w:val="18"/>
        </w:rPr>
        <w:t>ve 2. čtvrtletí 2020</w:t>
      </w:r>
      <w:r w:rsidR="00553FBC">
        <w:rPr>
          <w:szCs w:val="18"/>
        </w:rPr>
        <w:t>, následovaným rychlým oživením v dalších čtvrtletích</w:t>
      </w:r>
      <w:r w:rsidRPr="004D63E3">
        <w:rPr>
          <w:szCs w:val="18"/>
        </w:rPr>
        <w:t xml:space="preserve">. </w:t>
      </w:r>
      <w:r w:rsidR="00553FBC">
        <w:rPr>
          <w:szCs w:val="18"/>
        </w:rPr>
        <w:t>Třetí čtvrtletí vypadalo velmi slibně, ekonomika se znovu rozjela</w:t>
      </w:r>
      <w:r w:rsidR="00A10A9C">
        <w:rPr>
          <w:szCs w:val="18"/>
        </w:rPr>
        <w:t>. A</w:t>
      </w:r>
      <w:r w:rsidR="00553FBC">
        <w:rPr>
          <w:szCs w:val="18"/>
        </w:rPr>
        <w:t>však e</w:t>
      </w:r>
      <w:r w:rsidRPr="004D63E3">
        <w:rPr>
          <w:szCs w:val="18"/>
        </w:rPr>
        <w:t xml:space="preserve">pidemiologická situace </w:t>
      </w:r>
      <w:r w:rsidR="00553FBC">
        <w:rPr>
          <w:szCs w:val="18"/>
        </w:rPr>
        <w:t xml:space="preserve">se </w:t>
      </w:r>
      <w:r w:rsidRPr="004D63E3">
        <w:rPr>
          <w:szCs w:val="18"/>
        </w:rPr>
        <w:t xml:space="preserve">na přelomu léta a podzimu zhoršila </w:t>
      </w:r>
      <w:r>
        <w:rPr>
          <w:szCs w:val="18"/>
        </w:rPr>
        <w:t>natolik</w:t>
      </w:r>
      <w:r w:rsidRPr="004D63E3">
        <w:rPr>
          <w:szCs w:val="18"/>
        </w:rPr>
        <w:t xml:space="preserve"> výrazně, že</w:t>
      </w:r>
      <w:r w:rsidR="00A10A9C">
        <w:rPr>
          <w:szCs w:val="18"/>
        </w:rPr>
        <w:t xml:space="preserve"> ekonomové </w:t>
      </w:r>
      <w:r w:rsidR="00D47140">
        <w:rPr>
          <w:szCs w:val="18"/>
        </w:rPr>
        <w:t>přistoupil</w:t>
      </w:r>
      <w:r w:rsidR="0067201E">
        <w:rPr>
          <w:szCs w:val="18"/>
        </w:rPr>
        <w:t>i</w:t>
      </w:r>
      <w:r w:rsidR="00D47140">
        <w:rPr>
          <w:szCs w:val="18"/>
        </w:rPr>
        <w:t xml:space="preserve"> k razantnímu přehodnocení svých letních prognóz, jejich</w:t>
      </w:r>
      <w:r w:rsidR="007C2872">
        <w:rPr>
          <w:szCs w:val="18"/>
        </w:rPr>
        <w:t>ž</w:t>
      </w:r>
      <w:r w:rsidR="00D47140">
        <w:rPr>
          <w:szCs w:val="18"/>
        </w:rPr>
        <w:t xml:space="preserve"> společným znakem </w:t>
      </w:r>
      <w:r w:rsidR="007C2872">
        <w:rPr>
          <w:szCs w:val="18"/>
        </w:rPr>
        <w:t xml:space="preserve">jsou četné </w:t>
      </w:r>
      <w:proofErr w:type="spellStart"/>
      <w:r w:rsidR="007C2872">
        <w:rPr>
          <w:szCs w:val="18"/>
        </w:rPr>
        <w:t>disclaimery</w:t>
      </w:r>
      <w:proofErr w:type="spellEnd"/>
      <w:r w:rsidR="007C2872">
        <w:rPr>
          <w:szCs w:val="18"/>
        </w:rPr>
        <w:t xml:space="preserve"> - </w:t>
      </w:r>
      <w:r w:rsidRPr="004D63E3">
        <w:rPr>
          <w:szCs w:val="18"/>
        </w:rPr>
        <w:t xml:space="preserve"> budoucí vývoj nejenom naší, ale i evropské ekonomiky lze </w:t>
      </w:r>
      <w:r w:rsidR="007C2872">
        <w:rPr>
          <w:szCs w:val="18"/>
        </w:rPr>
        <w:t xml:space="preserve">totiž </w:t>
      </w:r>
      <w:r w:rsidRPr="004D63E3">
        <w:rPr>
          <w:szCs w:val="18"/>
        </w:rPr>
        <w:t xml:space="preserve">vzhledem k panující nejistotě předvídat </w:t>
      </w:r>
      <w:r w:rsidR="007C2872">
        <w:rPr>
          <w:szCs w:val="18"/>
        </w:rPr>
        <w:t>velmi obtížně</w:t>
      </w:r>
      <w:r w:rsidRPr="004D63E3">
        <w:rPr>
          <w:szCs w:val="18"/>
        </w:rPr>
        <w:t>.</w:t>
      </w:r>
      <w:r w:rsidR="007C2872">
        <w:rPr>
          <w:szCs w:val="18"/>
        </w:rPr>
        <w:t xml:space="preserve"> </w:t>
      </w:r>
    </w:p>
    <w:p w14:paraId="247CAA0F" w14:textId="77777777" w:rsidR="00595CAD" w:rsidRPr="000F790F" w:rsidRDefault="00595CAD" w:rsidP="00595CAD">
      <w:pPr>
        <w:rPr>
          <w:szCs w:val="18"/>
        </w:rPr>
      </w:pPr>
    </w:p>
    <w:p w14:paraId="3495E346" w14:textId="65DD4CFE" w:rsidR="006952F0" w:rsidRPr="000F790F" w:rsidRDefault="00062A8A" w:rsidP="006478ED">
      <w:pPr>
        <w:rPr>
          <w:szCs w:val="18"/>
        </w:rPr>
      </w:pPr>
      <w:r w:rsidRPr="00893FAA">
        <w:rPr>
          <w:i/>
          <w:iCs/>
          <w:szCs w:val="18"/>
        </w:rPr>
        <w:t>„</w:t>
      </w:r>
      <w:r w:rsidR="00D03EA1" w:rsidRPr="00893FAA">
        <w:rPr>
          <w:i/>
          <w:iCs/>
          <w:szCs w:val="18"/>
        </w:rPr>
        <w:t>Vezm</w:t>
      </w:r>
      <w:r w:rsidR="00EA6FE9" w:rsidRPr="00893FAA">
        <w:rPr>
          <w:i/>
          <w:iCs/>
          <w:szCs w:val="18"/>
        </w:rPr>
        <w:t>ěme</w:t>
      </w:r>
      <w:r w:rsidR="00D03EA1" w:rsidRPr="00893FAA">
        <w:rPr>
          <w:i/>
          <w:iCs/>
          <w:szCs w:val="18"/>
        </w:rPr>
        <w:t xml:space="preserve"> do úvahy, že tentokrát jde o globální krizi vyvolanou externím šokem, při níž ale na rozdíl od let 2008/2009 je v hlavních ekonomikách bankovní sektor fundamentálně zdravý</w:t>
      </w:r>
      <w:r w:rsidR="00EA6FE9" w:rsidRPr="00893FAA">
        <w:rPr>
          <w:i/>
          <w:iCs/>
          <w:szCs w:val="18"/>
        </w:rPr>
        <w:t>.</w:t>
      </w:r>
      <w:r w:rsidR="00D03EA1" w:rsidRPr="00893FAA">
        <w:rPr>
          <w:i/>
          <w:iCs/>
          <w:szCs w:val="18"/>
        </w:rPr>
        <w:t xml:space="preserve"> </w:t>
      </w:r>
      <w:r w:rsidR="00EA6FE9" w:rsidRPr="00893FAA">
        <w:rPr>
          <w:i/>
          <w:iCs/>
          <w:szCs w:val="18"/>
        </w:rPr>
        <w:t>Z</w:t>
      </w:r>
      <w:r w:rsidR="00D03EA1" w:rsidRPr="00893FAA">
        <w:rPr>
          <w:i/>
          <w:iCs/>
          <w:szCs w:val="18"/>
        </w:rPr>
        <w:t>ásadní otázkou</w:t>
      </w:r>
      <w:r w:rsidR="00EA6FE9" w:rsidRPr="00893FAA">
        <w:rPr>
          <w:i/>
          <w:iCs/>
          <w:szCs w:val="18"/>
        </w:rPr>
        <w:t xml:space="preserve"> pak</w:t>
      </w:r>
      <w:r w:rsidR="00D03EA1" w:rsidRPr="00893FAA">
        <w:rPr>
          <w:i/>
          <w:iCs/>
          <w:szCs w:val="18"/>
        </w:rPr>
        <w:t xml:space="preserve"> je, nakolik a jak rychle kombinace měnového a zejména fiskálního uvolnění dokážou ve firemním sektoru nejenom udržet potřebnou likviditu, resp. dodat provozní kapitál, a</w:t>
      </w:r>
      <w:r w:rsidR="00F43D1E" w:rsidRPr="00893FAA">
        <w:rPr>
          <w:i/>
          <w:iCs/>
          <w:szCs w:val="18"/>
        </w:rPr>
        <w:t>le</w:t>
      </w:r>
      <w:r w:rsidR="00D03EA1" w:rsidRPr="00893FAA">
        <w:rPr>
          <w:i/>
          <w:iCs/>
          <w:szCs w:val="18"/>
        </w:rPr>
        <w:t xml:space="preserve"> po odeznění nejhorších dopadů po</w:t>
      </w:r>
      <w:r w:rsidR="00527304" w:rsidRPr="00893FAA">
        <w:rPr>
          <w:i/>
          <w:iCs/>
          <w:szCs w:val="18"/>
        </w:rPr>
        <w:t>dpořit</w:t>
      </w:r>
      <w:r w:rsidR="00D03EA1" w:rsidRPr="00893FAA">
        <w:rPr>
          <w:i/>
          <w:iCs/>
          <w:szCs w:val="18"/>
        </w:rPr>
        <w:t xml:space="preserve"> </w:t>
      </w:r>
      <w:r w:rsidR="00F43D1E" w:rsidRPr="00893FAA">
        <w:rPr>
          <w:i/>
          <w:iCs/>
          <w:szCs w:val="18"/>
        </w:rPr>
        <w:t xml:space="preserve">také </w:t>
      </w:r>
      <w:r w:rsidR="00D03EA1" w:rsidRPr="00893FAA">
        <w:rPr>
          <w:i/>
          <w:iCs/>
          <w:szCs w:val="18"/>
        </w:rPr>
        <w:t xml:space="preserve">investiční aktivitu. </w:t>
      </w:r>
      <w:r w:rsidR="00527304" w:rsidRPr="00893FAA">
        <w:rPr>
          <w:i/>
          <w:iCs/>
          <w:szCs w:val="18"/>
        </w:rPr>
        <w:t>Při koncipování podpůrných opatření včetně investičních záruk je však třeba pamatovat na to, že j</w:t>
      </w:r>
      <w:r w:rsidR="00D03EA1" w:rsidRPr="00893FAA">
        <w:rPr>
          <w:i/>
          <w:iCs/>
          <w:szCs w:val="18"/>
        </w:rPr>
        <w:t xml:space="preserve">e sice možné hospodářství povzbudit veřejnými investicemi, ale střednědobě bude </w:t>
      </w:r>
      <w:r w:rsidR="00527304" w:rsidRPr="00893FAA">
        <w:rPr>
          <w:i/>
          <w:iCs/>
          <w:szCs w:val="18"/>
        </w:rPr>
        <w:t xml:space="preserve">pro budoucí kondici nejenom české ekonomiky </w:t>
      </w:r>
      <w:r w:rsidR="00D03EA1" w:rsidRPr="00893FAA">
        <w:rPr>
          <w:i/>
          <w:iCs/>
          <w:szCs w:val="18"/>
        </w:rPr>
        <w:t>rozhodující poptávka podnikatelů po zdrojích na soukrom</w:t>
      </w:r>
      <w:r w:rsidR="00527304" w:rsidRPr="00893FAA">
        <w:rPr>
          <w:i/>
          <w:iCs/>
          <w:szCs w:val="18"/>
        </w:rPr>
        <w:t>é</w:t>
      </w:r>
      <w:r w:rsidR="00D03EA1" w:rsidRPr="00893FAA">
        <w:rPr>
          <w:i/>
          <w:iCs/>
          <w:szCs w:val="18"/>
        </w:rPr>
        <w:t xml:space="preserve"> investic</w:t>
      </w:r>
      <w:r w:rsidR="00527304" w:rsidRPr="00893FAA">
        <w:rPr>
          <w:i/>
          <w:iCs/>
          <w:szCs w:val="18"/>
        </w:rPr>
        <w:t>e</w:t>
      </w:r>
      <w:r w:rsidRPr="00893FAA">
        <w:rPr>
          <w:i/>
          <w:iCs/>
          <w:szCs w:val="18"/>
        </w:rPr>
        <w:t>,“</w:t>
      </w:r>
      <w:r>
        <w:rPr>
          <w:szCs w:val="18"/>
        </w:rPr>
        <w:t xml:space="preserve"> komentuje Miroslav Zámečník, ekonomický analytik České bankovní asociace</w:t>
      </w:r>
      <w:r w:rsidR="00D03EA1" w:rsidRPr="000F790F">
        <w:rPr>
          <w:szCs w:val="18"/>
        </w:rPr>
        <w:t xml:space="preserve">. </w:t>
      </w:r>
    </w:p>
    <w:p w14:paraId="4199F9C5" w14:textId="4B0FCCFD" w:rsidR="00D03EA1" w:rsidRPr="000F790F" w:rsidRDefault="00D03EA1" w:rsidP="006478ED">
      <w:pPr>
        <w:rPr>
          <w:rFonts w:cs="Arial"/>
          <w:b/>
          <w:color w:val="007E79"/>
          <w:szCs w:val="18"/>
        </w:rPr>
      </w:pPr>
    </w:p>
    <w:p w14:paraId="3D5DA6B2" w14:textId="68237D38" w:rsidR="00F32F3A" w:rsidRPr="000F790F" w:rsidRDefault="00A2430B" w:rsidP="006478ED">
      <w:pPr>
        <w:rPr>
          <w:b/>
          <w:color w:val="007E79"/>
          <w:sz w:val="20"/>
        </w:rPr>
      </w:pPr>
      <w:r w:rsidRPr="000F790F">
        <w:rPr>
          <w:b/>
          <w:color w:val="007E79"/>
          <w:sz w:val="20"/>
        </w:rPr>
        <w:t xml:space="preserve">Vliv </w:t>
      </w:r>
      <w:r w:rsidR="005C60BB" w:rsidRPr="000F790F">
        <w:rPr>
          <w:b/>
          <w:color w:val="007E79"/>
          <w:sz w:val="20"/>
        </w:rPr>
        <w:t xml:space="preserve">hospodářského </w:t>
      </w:r>
      <w:r w:rsidR="00EA6FE9" w:rsidRPr="000F790F">
        <w:rPr>
          <w:b/>
          <w:color w:val="007E79"/>
          <w:sz w:val="20"/>
        </w:rPr>
        <w:t xml:space="preserve">vývoje </w:t>
      </w:r>
      <w:r w:rsidR="005C60BB" w:rsidRPr="000F790F">
        <w:rPr>
          <w:b/>
          <w:color w:val="007E79"/>
          <w:sz w:val="20"/>
        </w:rPr>
        <w:t xml:space="preserve">ve světě </w:t>
      </w:r>
      <w:r w:rsidRPr="000F790F">
        <w:rPr>
          <w:b/>
          <w:color w:val="007E79"/>
          <w:sz w:val="20"/>
        </w:rPr>
        <w:t>na</w:t>
      </w:r>
      <w:r w:rsidR="00F32F3A" w:rsidRPr="000F790F">
        <w:rPr>
          <w:b/>
          <w:color w:val="007E79"/>
          <w:sz w:val="20"/>
        </w:rPr>
        <w:t xml:space="preserve"> naše hospodářství</w:t>
      </w:r>
    </w:p>
    <w:p w14:paraId="3025844F" w14:textId="09C5B1DE" w:rsidR="00640878" w:rsidRPr="000F790F" w:rsidRDefault="00CF04CA" w:rsidP="006478ED">
      <w:pPr>
        <w:rPr>
          <w:szCs w:val="18"/>
        </w:rPr>
      </w:pPr>
      <w:r w:rsidRPr="000F790F">
        <w:rPr>
          <w:szCs w:val="18"/>
        </w:rPr>
        <w:t>Mezinárodní měnový fond</w:t>
      </w:r>
      <w:r w:rsidR="00BF73F4" w:rsidRPr="000F790F">
        <w:rPr>
          <w:szCs w:val="18"/>
        </w:rPr>
        <w:t xml:space="preserve"> </w:t>
      </w:r>
      <w:r w:rsidR="0080505A" w:rsidRPr="000F790F">
        <w:rPr>
          <w:szCs w:val="18"/>
        </w:rPr>
        <w:t xml:space="preserve">v říjnu </w:t>
      </w:r>
      <w:r w:rsidR="00B06E15" w:rsidRPr="000F790F">
        <w:rPr>
          <w:szCs w:val="18"/>
        </w:rPr>
        <w:t xml:space="preserve">(ovšem ještě před vypuknutím druhé vlny pandemie) </w:t>
      </w:r>
      <w:r w:rsidR="0080505A" w:rsidRPr="000F790F">
        <w:rPr>
          <w:szCs w:val="18"/>
        </w:rPr>
        <w:t xml:space="preserve">korigoval </w:t>
      </w:r>
      <w:r w:rsidR="00BF73F4" w:rsidRPr="000F790F">
        <w:rPr>
          <w:szCs w:val="18"/>
        </w:rPr>
        <w:t>odhad</w:t>
      </w:r>
      <w:r w:rsidR="0080505A" w:rsidRPr="000F790F">
        <w:rPr>
          <w:szCs w:val="18"/>
        </w:rPr>
        <w:t xml:space="preserve"> </w:t>
      </w:r>
      <w:r w:rsidR="00BF73F4" w:rsidRPr="000F790F">
        <w:rPr>
          <w:szCs w:val="18"/>
        </w:rPr>
        <w:t>letošní ztrát</w:t>
      </w:r>
      <w:r w:rsidR="0080505A" w:rsidRPr="000F790F">
        <w:rPr>
          <w:szCs w:val="18"/>
        </w:rPr>
        <w:t>y</w:t>
      </w:r>
      <w:r w:rsidRPr="000F790F">
        <w:rPr>
          <w:szCs w:val="18"/>
        </w:rPr>
        <w:t xml:space="preserve"> globálního výkonu </w:t>
      </w:r>
      <w:r w:rsidR="0080505A" w:rsidRPr="000F790F">
        <w:rPr>
          <w:szCs w:val="18"/>
        </w:rPr>
        <w:t xml:space="preserve">o půl procentního bodu vzhůru </w:t>
      </w:r>
      <w:r w:rsidR="00BF73F4" w:rsidRPr="000F790F">
        <w:rPr>
          <w:szCs w:val="18"/>
        </w:rPr>
        <w:t>na 4,</w:t>
      </w:r>
      <w:r w:rsidR="0080505A" w:rsidRPr="000F790F">
        <w:rPr>
          <w:szCs w:val="18"/>
        </w:rPr>
        <w:t>4</w:t>
      </w:r>
      <w:r w:rsidR="00BF73F4" w:rsidRPr="000F790F">
        <w:rPr>
          <w:szCs w:val="18"/>
        </w:rPr>
        <w:t xml:space="preserve"> % světového HDP. </w:t>
      </w:r>
      <w:r w:rsidR="0080505A" w:rsidRPr="000F790F">
        <w:rPr>
          <w:szCs w:val="18"/>
        </w:rPr>
        <w:t>Jeho optimismus vyplýv</w:t>
      </w:r>
      <w:r w:rsidR="00CB3A76">
        <w:rPr>
          <w:szCs w:val="18"/>
        </w:rPr>
        <w:t>á</w:t>
      </w:r>
      <w:r w:rsidR="0080505A" w:rsidRPr="000F790F">
        <w:rPr>
          <w:szCs w:val="18"/>
        </w:rPr>
        <w:t xml:space="preserve"> z lepších hospodářských výsledků zejména vyspělých ekonomik ve druhém čtvrtletí, kde po omezení restrikcí během května a června začaly být patrné známky oživující hospodářské aktivity, a</w:t>
      </w:r>
      <w:r w:rsidR="00CB3A76">
        <w:rPr>
          <w:szCs w:val="18"/>
        </w:rPr>
        <w:t xml:space="preserve"> také</w:t>
      </w:r>
      <w:r w:rsidR="0080505A" w:rsidRPr="000F790F">
        <w:rPr>
          <w:szCs w:val="18"/>
        </w:rPr>
        <w:t xml:space="preserve"> z toho, že předstihové indikátory naznačují silnější oživení ve čtvrtletí třetím. Pro rok 2021 pak MMF očekává 5,2% růst světové ekonomiky, což je jen mírně pod červnovým odhadem. Důvodem této korekce je přetrvávající sklon ke společenskému distancování.</w:t>
      </w:r>
      <w:r w:rsidR="00E07861" w:rsidRPr="000F790F">
        <w:rPr>
          <w:szCs w:val="18"/>
        </w:rPr>
        <w:t xml:space="preserve"> </w:t>
      </w:r>
      <w:r w:rsidR="00A64535" w:rsidRPr="000F790F">
        <w:rPr>
          <w:szCs w:val="18"/>
        </w:rPr>
        <w:t>Odhadovaný pokles v roce 2020 je téměř dvakrát vyšší ve</w:t>
      </w:r>
      <w:r w:rsidR="00BF73F4" w:rsidRPr="000F790F">
        <w:rPr>
          <w:szCs w:val="18"/>
        </w:rPr>
        <w:t xml:space="preserve"> vyspěl</w:t>
      </w:r>
      <w:r w:rsidR="00A64535" w:rsidRPr="000F790F">
        <w:rPr>
          <w:szCs w:val="18"/>
        </w:rPr>
        <w:t>ých</w:t>
      </w:r>
      <w:r w:rsidR="00BF73F4" w:rsidRPr="000F790F">
        <w:rPr>
          <w:szCs w:val="18"/>
        </w:rPr>
        <w:t xml:space="preserve"> ekonomik</w:t>
      </w:r>
      <w:r w:rsidR="00A64535" w:rsidRPr="000F790F">
        <w:rPr>
          <w:szCs w:val="18"/>
        </w:rPr>
        <w:t>ách</w:t>
      </w:r>
      <w:r w:rsidR="00BF73F4" w:rsidRPr="000F790F">
        <w:rPr>
          <w:szCs w:val="18"/>
        </w:rPr>
        <w:t xml:space="preserve"> (</w:t>
      </w:r>
      <w:r w:rsidR="00190861" w:rsidRPr="000F790F">
        <w:rPr>
          <w:szCs w:val="18"/>
        </w:rPr>
        <w:t>-</w:t>
      </w:r>
      <w:r w:rsidR="00A64535" w:rsidRPr="000F790F">
        <w:rPr>
          <w:szCs w:val="18"/>
        </w:rPr>
        <w:t>5,8</w:t>
      </w:r>
      <w:r w:rsidR="00190861" w:rsidRPr="000F790F">
        <w:rPr>
          <w:szCs w:val="18"/>
        </w:rPr>
        <w:t> </w:t>
      </w:r>
      <w:r w:rsidR="00BF73F4" w:rsidRPr="000F790F">
        <w:rPr>
          <w:szCs w:val="18"/>
        </w:rPr>
        <w:t>%</w:t>
      </w:r>
      <w:r w:rsidR="00864AC0" w:rsidRPr="000F790F">
        <w:rPr>
          <w:szCs w:val="18"/>
        </w:rPr>
        <w:t>)</w:t>
      </w:r>
      <w:r w:rsidR="00A64535" w:rsidRPr="000F790F">
        <w:rPr>
          <w:szCs w:val="18"/>
        </w:rPr>
        <w:t>, než v zemích „</w:t>
      </w:r>
      <w:proofErr w:type="spellStart"/>
      <w:r w:rsidR="00A64535" w:rsidRPr="000F790F">
        <w:rPr>
          <w:i/>
          <w:iCs/>
          <w:szCs w:val="18"/>
        </w:rPr>
        <w:t>emerging</w:t>
      </w:r>
      <w:proofErr w:type="spellEnd"/>
      <w:r w:rsidR="00A64535" w:rsidRPr="000F790F">
        <w:rPr>
          <w:i/>
          <w:iCs/>
          <w:szCs w:val="18"/>
        </w:rPr>
        <w:t xml:space="preserve"> </w:t>
      </w:r>
      <w:proofErr w:type="spellStart"/>
      <w:r w:rsidR="00A64535" w:rsidRPr="000F790F">
        <w:rPr>
          <w:i/>
          <w:iCs/>
          <w:szCs w:val="18"/>
        </w:rPr>
        <w:t>markets</w:t>
      </w:r>
      <w:proofErr w:type="spellEnd"/>
      <w:r w:rsidR="00A64535" w:rsidRPr="000F790F">
        <w:rPr>
          <w:szCs w:val="18"/>
        </w:rPr>
        <w:t>“</w:t>
      </w:r>
      <w:r w:rsidR="003D14D7" w:rsidRPr="000F790F">
        <w:rPr>
          <w:szCs w:val="18"/>
        </w:rPr>
        <w:t xml:space="preserve"> a rozvojových zemích</w:t>
      </w:r>
      <w:r w:rsidR="00A64535" w:rsidRPr="000F790F">
        <w:rPr>
          <w:szCs w:val="18"/>
        </w:rPr>
        <w:t xml:space="preserve"> (</w:t>
      </w:r>
      <w:r w:rsidR="00190861" w:rsidRPr="000F790F">
        <w:rPr>
          <w:szCs w:val="18"/>
        </w:rPr>
        <w:t>-</w:t>
      </w:r>
      <w:r w:rsidR="00A64535" w:rsidRPr="000F790F">
        <w:rPr>
          <w:szCs w:val="18"/>
        </w:rPr>
        <w:t>3,3</w:t>
      </w:r>
      <w:r w:rsidR="003D14D7" w:rsidRPr="000F790F">
        <w:rPr>
          <w:szCs w:val="18"/>
        </w:rPr>
        <w:t xml:space="preserve"> </w:t>
      </w:r>
      <w:r w:rsidR="00A64535" w:rsidRPr="000F790F">
        <w:rPr>
          <w:szCs w:val="18"/>
        </w:rPr>
        <w:t>%), což se týká do jisté míry i oživení projektovaného pro rok 2021, odhadovaného na 3,9 % v</w:t>
      </w:r>
      <w:r w:rsidR="003D14D7" w:rsidRPr="000F790F">
        <w:rPr>
          <w:szCs w:val="18"/>
        </w:rPr>
        <w:t xml:space="preserve"> hospodářsky</w:t>
      </w:r>
      <w:r w:rsidR="00A64535" w:rsidRPr="000F790F">
        <w:rPr>
          <w:szCs w:val="18"/>
        </w:rPr>
        <w:t xml:space="preserve"> vyspělé</w:t>
      </w:r>
      <w:r w:rsidR="003D14D7" w:rsidRPr="000F790F">
        <w:rPr>
          <w:szCs w:val="18"/>
        </w:rPr>
        <w:t xml:space="preserve"> části světa a dokonce na 6 % v zemích ostatních</w:t>
      </w:r>
      <w:r w:rsidR="00BF73F4" w:rsidRPr="000F790F">
        <w:rPr>
          <w:szCs w:val="18"/>
        </w:rPr>
        <w:t xml:space="preserve">. </w:t>
      </w:r>
    </w:p>
    <w:p w14:paraId="1772E735" w14:textId="77777777" w:rsidR="00640878" w:rsidRPr="000F790F" w:rsidRDefault="00640878" w:rsidP="006478ED">
      <w:pPr>
        <w:rPr>
          <w:szCs w:val="18"/>
        </w:rPr>
      </w:pPr>
    </w:p>
    <w:p w14:paraId="64398628" w14:textId="20A33D5C" w:rsidR="003D14D7" w:rsidRPr="000F790F" w:rsidRDefault="00553FBC" w:rsidP="006478ED">
      <w:pPr>
        <w:rPr>
          <w:szCs w:val="18"/>
        </w:rPr>
      </w:pPr>
      <w:r>
        <w:rPr>
          <w:szCs w:val="18"/>
        </w:rPr>
        <w:t>O</w:t>
      </w:r>
      <w:r w:rsidR="003D14D7" w:rsidRPr="000F790F">
        <w:rPr>
          <w:szCs w:val="18"/>
        </w:rPr>
        <w:t xml:space="preserve">čekávání </w:t>
      </w:r>
      <w:r>
        <w:rPr>
          <w:szCs w:val="18"/>
        </w:rPr>
        <w:t>u nás je spojeno se silnou vazbou na h</w:t>
      </w:r>
      <w:r w:rsidR="003D14D7" w:rsidRPr="000F790F">
        <w:rPr>
          <w:szCs w:val="18"/>
        </w:rPr>
        <w:t>ospodářsk</w:t>
      </w:r>
      <w:r>
        <w:rPr>
          <w:szCs w:val="18"/>
        </w:rPr>
        <w:t>ý vývoj</w:t>
      </w:r>
      <w:r w:rsidR="003D14D7" w:rsidRPr="000F790F">
        <w:rPr>
          <w:szCs w:val="18"/>
        </w:rPr>
        <w:t xml:space="preserve"> Německa jako</w:t>
      </w:r>
      <w:r w:rsidR="00CB3A76">
        <w:rPr>
          <w:szCs w:val="18"/>
        </w:rPr>
        <w:t>žto</w:t>
      </w:r>
      <w:r w:rsidR="003D14D7" w:rsidRPr="000F790F">
        <w:rPr>
          <w:szCs w:val="18"/>
        </w:rPr>
        <w:t xml:space="preserve"> našeho zásadního obchodního partnera, kde MMF setrval na svém předchozím odhadu 6% poklesu</w:t>
      </w:r>
      <w:r w:rsidR="00190861" w:rsidRPr="000F790F">
        <w:rPr>
          <w:szCs w:val="18"/>
        </w:rPr>
        <w:t xml:space="preserve"> v letošním roce</w:t>
      </w:r>
      <w:r>
        <w:rPr>
          <w:szCs w:val="18"/>
        </w:rPr>
        <w:t>,</w:t>
      </w:r>
      <w:r w:rsidR="003D14D7" w:rsidRPr="000F790F">
        <w:rPr>
          <w:szCs w:val="18"/>
        </w:rPr>
        <w:t xml:space="preserve"> následovaném o rok později 4,2% růstem. I tak zůstává v rámci eurozóny náš severozápadní soused mezi velkými zeměmi premiantem a vykazuje příznivější charakteristiky než eurozóna jako celek (s -8,3 % letos a růstem </w:t>
      </w:r>
      <w:r>
        <w:rPr>
          <w:szCs w:val="18"/>
        </w:rPr>
        <w:t>o</w:t>
      </w:r>
      <w:r w:rsidR="003D14D7" w:rsidRPr="000F790F">
        <w:rPr>
          <w:szCs w:val="18"/>
        </w:rPr>
        <w:t xml:space="preserve"> 5,2 % </w:t>
      </w:r>
      <w:r w:rsidR="00F464BF">
        <w:rPr>
          <w:szCs w:val="18"/>
        </w:rPr>
        <w:t>v roce příštím</w:t>
      </w:r>
      <w:r w:rsidR="003D14D7" w:rsidRPr="000F790F">
        <w:rPr>
          <w:szCs w:val="18"/>
        </w:rPr>
        <w:t xml:space="preserve">). To je sice dobrá zpráva pro naše exportéry, vzhledem k charakteru šoku a špatné </w:t>
      </w:r>
      <w:r>
        <w:rPr>
          <w:szCs w:val="18"/>
        </w:rPr>
        <w:t>předvídatelnosti vývoje u nás</w:t>
      </w:r>
      <w:r w:rsidR="003D14D7" w:rsidRPr="000F790F">
        <w:rPr>
          <w:szCs w:val="18"/>
        </w:rPr>
        <w:t xml:space="preserve"> je</w:t>
      </w:r>
      <w:r w:rsidR="00E0427D" w:rsidRPr="000F790F">
        <w:rPr>
          <w:szCs w:val="18"/>
        </w:rPr>
        <w:t xml:space="preserve"> ji</w:t>
      </w:r>
      <w:r w:rsidR="003D14D7" w:rsidRPr="000F790F">
        <w:rPr>
          <w:szCs w:val="18"/>
        </w:rPr>
        <w:t xml:space="preserve"> však nutno brát s rezervou. </w:t>
      </w:r>
      <w:r w:rsidR="00F464BF">
        <w:rPr>
          <w:szCs w:val="18"/>
        </w:rPr>
        <w:t>O něco lépe dopadne podle MMF pružnější</w:t>
      </w:r>
      <w:r w:rsidR="00190861" w:rsidRPr="000F790F">
        <w:rPr>
          <w:szCs w:val="18"/>
        </w:rPr>
        <w:t xml:space="preserve"> </w:t>
      </w:r>
      <w:r w:rsidR="00E0427D" w:rsidRPr="000F790F">
        <w:rPr>
          <w:szCs w:val="18"/>
        </w:rPr>
        <w:t>ekonomik</w:t>
      </w:r>
      <w:r w:rsidR="00F464BF">
        <w:rPr>
          <w:szCs w:val="18"/>
        </w:rPr>
        <w:t>a</w:t>
      </w:r>
      <w:r w:rsidR="00E0427D" w:rsidRPr="000F790F">
        <w:rPr>
          <w:szCs w:val="18"/>
        </w:rPr>
        <w:t xml:space="preserve"> USA, kde je po letošním 4,3% poklesu HDP očekáván napřesrok růst</w:t>
      </w:r>
      <w:r w:rsidR="00CB3A76">
        <w:rPr>
          <w:szCs w:val="18"/>
        </w:rPr>
        <w:t xml:space="preserve"> </w:t>
      </w:r>
      <w:r w:rsidR="00F464BF" w:rsidRPr="000F790F">
        <w:rPr>
          <w:szCs w:val="18"/>
        </w:rPr>
        <w:t>3,1</w:t>
      </w:r>
      <w:r w:rsidR="00CB3A76">
        <w:rPr>
          <w:szCs w:val="18"/>
        </w:rPr>
        <w:t xml:space="preserve"> </w:t>
      </w:r>
      <w:r w:rsidR="00F464BF" w:rsidRPr="000F790F">
        <w:rPr>
          <w:szCs w:val="18"/>
        </w:rPr>
        <w:t>%</w:t>
      </w:r>
      <w:r w:rsidR="00E0427D" w:rsidRPr="000F790F">
        <w:rPr>
          <w:szCs w:val="18"/>
        </w:rPr>
        <w:t xml:space="preserve">. </w:t>
      </w:r>
      <w:r w:rsidR="00F464BF">
        <w:rPr>
          <w:szCs w:val="18"/>
        </w:rPr>
        <w:t>Pozitivním překvapením</w:t>
      </w:r>
      <w:r w:rsidR="00E0427D" w:rsidRPr="000F790F">
        <w:rPr>
          <w:szCs w:val="18"/>
        </w:rPr>
        <w:t xml:space="preserve"> je odhad pro Čínu, kde celá patálie globální ekonomiky </w:t>
      </w:r>
      <w:r w:rsidR="00F464BF">
        <w:rPr>
          <w:szCs w:val="18"/>
        </w:rPr>
        <w:t>před necelým rokem</w:t>
      </w:r>
      <w:r w:rsidR="00E0427D" w:rsidRPr="000F790F">
        <w:rPr>
          <w:szCs w:val="18"/>
        </w:rPr>
        <w:t xml:space="preserve"> odstartovala</w:t>
      </w:r>
      <w:r w:rsidR="00F464BF">
        <w:rPr>
          <w:szCs w:val="18"/>
        </w:rPr>
        <w:t xml:space="preserve">, ale </w:t>
      </w:r>
      <w:r w:rsidR="00E0427D" w:rsidRPr="000F790F">
        <w:rPr>
          <w:szCs w:val="18"/>
        </w:rPr>
        <w:t>leto</w:t>
      </w:r>
      <w:r w:rsidR="00F464BF">
        <w:rPr>
          <w:szCs w:val="18"/>
        </w:rPr>
        <w:t xml:space="preserve">šek podle </w:t>
      </w:r>
      <w:r w:rsidR="00E0427D" w:rsidRPr="000F790F">
        <w:rPr>
          <w:szCs w:val="18"/>
        </w:rPr>
        <w:t xml:space="preserve">MMF </w:t>
      </w:r>
      <w:r w:rsidR="00F464BF">
        <w:rPr>
          <w:szCs w:val="18"/>
        </w:rPr>
        <w:t>uzavře sice chudokrevným, ale přesto kladným vzestupem o</w:t>
      </w:r>
      <w:r w:rsidR="00E0427D" w:rsidRPr="000F790F">
        <w:rPr>
          <w:szCs w:val="18"/>
        </w:rPr>
        <w:t xml:space="preserve"> 1,9 % HDP</w:t>
      </w:r>
      <w:r w:rsidR="00AC57E5" w:rsidRPr="000F790F">
        <w:rPr>
          <w:szCs w:val="18"/>
        </w:rPr>
        <w:t xml:space="preserve">, </w:t>
      </w:r>
      <w:r w:rsidR="00F464BF">
        <w:rPr>
          <w:szCs w:val="18"/>
        </w:rPr>
        <w:t>následovaným dynamickým oživením: v příštím roce by měla vzrůst o</w:t>
      </w:r>
      <w:r w:rsidR="00AC57E5" w:rsidRPr="000F790F">
        <w:rPr>
          <w:szCs w:val="18"/>
        </w:rPr>
        <w:t xml:space="preserve"> </w:t>
      </w:r>
      <w:r w:rsidR="00E0427D" w:rsidRPr="000F790F">
        <w:rPr>
          <w:szCs w:val="18"/>
        </w:rPr>
        <w:t xml:space="preserve">8,2 %. </w:t>
      </w:r>
    </w:p>
    <w:p w14:paraId="078FDF45" w14:textId="77777777" w:rsidR="00E07861" w:rsidRPr="000F790F" w:rsidRDefault="00E07861" w:rsidP="006478ED">
      <w:pPr>
        <w:rPr>
          <w:szCs w:val="18"/>
        </w:rPr>
      </w:pPr>
    </w:p>
    <w:p w14:paraId="3F30B435" w14:textId="49706B35" w:rsidR="00AC57E5" w:rsidRPr="000F790F" w:rsidRDefault="00F464BF" w:rsidP="006478ED">
      <w:pPr>
        <w:rPr>
          <w:szCs w:val="18"/>
        </w:rPr>
      </w:pPr>
      <w:r>
        <w:rPr>
          <w:szCs w:val="18"/>
        </w:rPr>
        <w:t>N</w:t>
      </w:r>
      <w:r w:rsidR="00AC57E5" w:rsidRPr="000F790F">
        <w:rPr>
          <w:szCs w:val="18"/>
        </w:rPr>
        <w:t>ejistoty kolem základního scénáře dalšího vývoje</w:t>
      </w:r>
      <w:r w:rsidR="00CB3A76">
        <w:rPr>
          <w:szCs w:val="18"/>
        </w:rPr>
        <w:t xml:space="preserve"> ekonomiky</w:t>
      </w:r>
      <w:r>
        <w:rPr>
          <w:szCs w:val="18"/>
        </w:rPr>
        <w:t xml:space="preserve"> jsou</w:t>
      </w:r>
      <w:r w:rsidR="00AC57E5" w:rsidRPr="000F790F">
        <w:rPr>
          <w:szCs w:val="18"/>
        </w:rPr>
        <w:t xml:space="preserve"> neobvykle velké</w:t>
      </w:r>
      <w:r>
        <w:rPr>
          <w:szCs w:val="18"/>
        </w:rPr>
        <w:t>, což neplatí jen pro Česko, ale globální ekonomiku obecně</w:t>
      </w:r>
      <w:r w:rsidR="00AC57E5" w:rsidRPr="000F790F">
        <w:rPr>
          <w:szCs w:val="18"/>
        </w:rPr>
        <w:t xml:space="preserve">. Vyplývají </w:t>
      </w:r>
      <w:r w:rsidR="00CB3A76">
        <w:rPr>
          <w:szCs w:val="18"/>
        </w:rPr>
        <w:t>primárně</w:t>
      </w:r>
      <w:r w:rsidR="00AC57E5" w:rsidRPr="000F790F">
        <w:rPr>
          <w:szCs w:val="18"/>
        </w:rPr>
        <w:t xml:space="preserve"> z krajně obtížné předvídatelnosti</w:t>
      </w:r>
      <w:r w:rsidR="00CB3A76">
        <w:rPr>
          <w:szCs w:val="18"/>
        </w:rPr>
        <w:t>, j</w:t>
      </w:r>
      <w:r>
        <w:rPr>
          <w:szCs w:val="18"/>
        </w:rPr>
        <w:t>ak se bude vyvíjet</w:t>
      </w:r>
      <w:r w:rsidR="00AC57E5" w:rsidRPr="000F790F">
        <w:rPr>
          <w:szCs w:val="18"/>
        </w:rPr>
        <w:t xml:space="preserve"> pandemie,</w:t>
      </w:r>
      <w:r>
        <w:rPr>
          <w:szCs w:val="18"/>
        </w:rPr>
        <w:t xml:space="preserve"> </w:t>
      </w:r>
      <w:r w:rsidR="00CB3A76">
        <w:rPr>
          <w:szCs w:val="18"/>
        </w:rPr>
        <w:t xml:space="preserve">a tedy </w:t>
      </w:r>
      <w:r>
        <w:rPr>
          <w:szCs w:val="18"/>
        </w:rPr>
        <w:t>jak odolají obory</w:t>
      </w:r>
      <w:r w:rsidR="00CB3A76">
        <w:rPr>
          <w:szCs w:val="18"/>
        </w:rPr>
        <w:t xml:space="preserve"> </w:t>
      </w:r>
      <w:r>
        <w:rPr>
          <w:szCs w:val="18"/>
        </w:rPr>
        <w:t>nejvíc závislé na sociálním kontaktu, jaká bude reakce vlá</w:t>
      </w:r>
      <w:r w:rsidR="00CB3A76">
        <w:rPr>
          <w:szCs w:val="18"/>
        </w:rPr>
        <w:t xml:space="preserve">d atd. </w:t>
      </w:r>
      <w:r w:rsidR="00710350" w:rsidRPr="000F790F">
        <w:rPr>
          <w:szCs w:val="18"/>
        </w:rPr>
        <w:t xml:space="preserve">Nejistá je i míra přenosu „hospodářské nákazy“ mezi </w:t>
      </w:r>
      <w:r w:rsidR="00CB3A76">
        <w:rPr>
          <w:szCs w:val="18"/>
        </w:rPr>
        <w:t>státy</w:t>
      </w:r>
      <w:r w:rsidR="00710350" w:rsidRPr="000F790F">
        <w:rPr>
          <w:szCs w:val="18"/>
        </w:rPr>
        <w:t xml:space="preserve"> prostřednictvím skomírající turistiky</w:t>
      </w:r>
      <w:r>
        <w:rPr>
          <w:szCs w:val="18"/>
        </w:rPr>
        <w:t>, přičemž segment</w:t>
      </w:r>
      <w:r w:rsidR="00710350" w:rsidRPr="000F790F">
        <w:rPr>
          <w:szCs w:val="18"/>
        </w:rPr>
        <w:t xml:space="preserve"> </w:t>
      </w:r>
      <w:r w:rsidR="007D6C66" w:rsidRPr="000F790F">
        <w:rPr>
          <w:szCs w:val="18"/>
        </w:rPr>
        <w:t>HOREK</w:t>
      </w:r>
      <w:r w:rsidR="00710350" w:rsidRPr="000F790F">
        <w:rPr>
          <w:szCs w:val="18"/>
        </w:rPr>
        <w:t>A (hotely, restaurace a kavárny)</w:t>
      </w:r>
      <w:r>
        <w:rPr>
          <w:szCs w:val="18"/>
        </w:rPr>
        <w:t xml:space="preserve"> například</w:t>
      </w:r>
      <w:r w:rsidR="00710350" w:rsidRPr="000F790F">
        <w:rPr>
          <w:szCs w:val="18"/>
        </w:rPr>
        <w:t xml:space="preserve"> v Evropě zaměstnává kolem 8-9 mil. lidí</w:t>
      </w:r>
      <w:r>
        <w:rPr>
          <w:szCs w:val="18"/>
        </w:rPr>
        <w:t xml:space="preserve">, z toho u nás přes </w:t>
      </w:r>
      <w:r w:rsidR="00476BD0" w:rsidRPr="000F790F">
        <w:rPr>
          <w:szCs w:val="18"/>
        </w:rPr>
        <w:t>200 tis</w:t>
      </w:r>
      <w:r>
        <w:rPr>
          <w:szCs w:val="18"/>
        </w:rPr>
        <w:t>íc</w:t>
      </w:r>
      <w:r w:rsidR="00761C3F">
        <w:rPr>
          <w:szCs w:val="18"/>
        </w:rPr>
        <w:t>.</w:t>
      </w:r>
      <w:r w:rsidR="007D6C66" w:rsidRPr="000F790F">
        <w:rPr>
          <w:szCs w:val="18"/>
        </w:rPr>
        <w:t xml:space="preserve"> </w:t>
      </w:r>
      <w:r w:rsidR="00CB3A76">
        <w:rPr>
          <w:szCs w:val="18"/>
        </w:rPr>
        <w:t>N</w:t>
      </w:r>
      <w:r w:rsidR="00E22F3F" w:rsidRPr="000F790F">
        <w:rPr>
          <w:szCs w:val="18"/>
        </w:rPr>
        <w:t xml:space="preserve">evyzpytatelné </w:t>
      </w:r>
      <w:r w:rsidR="00A10A9C">
        <w:rPr>
          <w:szCs w:val="18"/>
        </w:rPr>
        <w:t xml:space="preserve">jsou však i </w:t>
      </w:r>
      <w:r w:rsidR="00E22F3F" w:rsidRPr="000F790F">
        <w:rPr>
          <w:szCs w:val="18"/>
        </w:rPr>
        <w:t>změny nálad na finančních trzích a jejich dopady do směru, velikosti a proměnlivosti</w:t>
      </w:r>
      <w:r w:rsidR="00710350" w:rsidRPr="000F790F">
        <w:rPr>
          <w:szCs w:val="18"/>
        </w:rPr>
        <w:t xml:space="preserve"> </w:t>
      </w:r>
      <w:r w:rsidR="006B2ADD" w:rsidRPr="000F790F">
        <w:rPr>
          <w:szCs w:val="18"/>
        </w:rPr>
        <w:t xml:space="preserve">globálních kapitálových toků. </w:t>
      </w:r>
    </w:p>
    <w:p w14:paraId="634377D7" w14:textId="77777777" w:rsidR="003D14D7" w:rsidRPr="000F790F" w:rsidRDefault="003D14D7" w:rsidP="006478ED">
      <w:pPr>
        <w:rPr>
          <w:sz w:val="20"/>
        </w:rPr>
      </w:pPr>
    </w:p>
    <w:p w14:paraId="7306EF6D" w14:textId="4A33EE00" w:rsidR="00F32F3A" w:rsidRPr="000F790F" w:rsidRDefault="00A2430B" w:rsidP="006478ED">
      <w:pPr>
        <w:rPr>
          <w:b/>
          <w:color w:val="007E79"/>
          <w:sz w:val="20"/>
        </w:rPr>
      </w:pPr>
      <w:r w:rsidRPr="000F790F">
        <w:rPr>
          <w:b/>
          <w:color w:val="007E79"/>
          <w:sz w:val="20"/>
        </w:rPr>
        <w:t>Výhled h</w:t>
      </w:r>
      <w:r w:rsidR="00F32F3A" w:rsidRPr="000F790F">
        <w:rPr>
          <w:b/>
          <w:color w:val="007E79"/>
          <w:sz w:val="20"/>
        </w:rPr>
        <w:t>ospodářsk</w:t>
      </w:r>
      <w:r w:rsidRPr="000F790F">
        <w:rPr>
          <w:b/>
          <w:color w:val="007E79"/>
          <w:sz w:val="20"/>
        </w:rPr>
        <w:t>ého</w:t>
      </w:r>
      <w:r w:rsidR="00F32F3A" w:rsidRPr="000F790F">
        <w:rPr>
          <w:b/>
          <w:color w:val="007E79"/>
          <w:sz w:val="20"/>
        </w:rPr>
        <w:t xml:space="preserve"> růst</w:t>
      </w:r>
      <w:r w:rsidRPr="000F790F">
        <w:rPr>
          <w:b/>
          <w:color w:val="007E79"/>
          <w:sz w:val="20"/>
        </w:rPr>
        <w:t>u ČR</w:t>
      </w:r>
      <w:r w:rsidR="005C60BB" w:rsidRPr="000F790F">
        <w:rPr>
          <w:b/>
          <w:color w:val="007E79"/>
          <w:sz w:val="20"/>
        </w:rPr>
        <w:t xml:space="preserve">: </w:t>
      </w:r>
      <w:r w:rsidR="00576028" w:rsidRPr="000F790F">
        <w:rPr>
          <w:b/>
          <w:color w:val="007E79"/>
          <w:sz w:val="20"/>
        </w:rPr>
        <w:t>hlubší propad, pomalejší oživení</w:t>
      </w:r>
    </w:p>
    <w:p w14:paraId="7148D46D" w14:textId="317C5F5B" w:rsidR="00D7105D" w:rsidRPr="000F790F" w:rsidRDefault="00576028" w:rsidP="002E732D">
      <w:pPr>
        <w:rPr>
          <w:szCs w:val="18"/>
        </w:rPr>
      </w:pPr>
      <w:r w:rsidRPr="000F790F">
        <w:rPr>
          <w:szCs w:val="18"/>
        </w:rPr>
        <w:t>Důsledky skokového zhoršení epidemiologické situace na začátku podzimního období jsou zřejmé</w:t>
      </w:r>
      <w:r w:rsidR="00A10A9C">
        <w:rPr>
          <w:szCs w:val="18"/>
        </w:rPr>
        <w:t xml:space="preserve"> už nyní</w:t>
      </w:r>
      <w:r w:rsidRPr="000F790F">
        <w:rPr>
          <w:szCs w:val="18"/>
        </w:rPr>
        <w:t xml:space="preserve"> – letošní propad ekonomiky bude</w:t>
      </w:r>
      <w:r w:rsidR="002B3725" w:rsidRPr="000F790F">
        <w:rPr>
          <w:szCs w:val="18"/>
        </w:rPr>
        <w:t xml:space="preserve"> o něco</w:t>
      </w:r>
      <w:r w:rsidRPr="000F790F">
        <w:rPr>
          <w:szCs w:val="18"/>
        </w:rPr>
        <w:t xml:space="preserve"> hlubší, na oživení budeme čekat déle a bude nejspíš i slabší, než jaké předpokládali hlavní ekonomové bank</w:t>
      </w:r>
      <w:r w:rsidR="00A10A9C">
        <w:rPr>
          <w:szCs w:val="18"/>
        </w:rPr>
        <w:t>,</w:t>
      </w:r>
      <w:r w:rsidRPr="000F790F">
        <w:rPr>
          <w:szCs w:val="18"/>
        </w:rPr>
        <w:t xml:space="preserve"> působící v </w:t>
      </w:r>
      <w:r w:rsidR="00D7105D" w:rsidRPr="000F790F">
        <w:rPr>
          <w:szCs w:val="18"/>
        </w:rPr>
        <w:t>prognostické</w:t>
      </w:r>
      <w:r w:rsidRPr="000F790F">
        <w:rPr>
          <w:szCs w:val="18"/>
        </w:rPr>
        <w:t>m</w:t>
      </w:r>
      <w:r w:rsidR="00D7105D" w:rsidRPr="000F790F">
        <w:rPr>
          <w:szCs w:val="18"/>
        </w:rPr>
        <w:t xml:space="preserve"> panelu ČBA</w:t>
      </w:r>
      <w:r w:rsidR="00A10A9C">
        <w:rPr>
          <w:szCs w:val="18"/>
        </w:rPr>
        <w:t>,</w:t>
      </w:r>
      <w:r w:rsidR="00D7105D" w:rsidRPr="000F790F">
        <w:rPr>
          <w:szCs w:val="18"/>
        </w:rPr>
        <w:t xml:space="preserve"> </w:t>
      </w:r>
      <w:r w:rsidR="003305B2" w:rsidRPr="000F790F">
        <w:rPr>
          <w:szCs w:val="18"/>
        </w:rPr>
        <w:t>v létě</w:t>
      </w:r>
      <w:r w:rsidRPr="000F790F">
        <w:rPr>
          <w:szCs w:val="18"/>
        </w:rPr>
        <w:t xml:space="preserve">. Změnil se i pohled na předpoklady prognózy </w:t>
      </w:r>
      <w:r w:rsidR="00EF0D43" w:rsidRPr="000F790F">
        <w:rPr>
          <w:szCs w:val="18"/>
        </w:rPr>
        <w:t>–</w:t>
      </w:r>
      <w:r w:rsidRPr="000F790F">
        <w:rPr>
          <w:szCs w:val="18"/>
        </w:rPr>
        <w:t xml:space="preserve"> </w:t>
      </w:r>
      <w:r w:rsidR="00EF0D43" w:rsidRPr="000F790F">
        <w:rPr>
          <w:szCs w:val="18"/>
        </w:rPr>
        <w:t>v současné době je sice hlavním scénářem spíše omezená doba trvání karanténních opatření v rozsahu jednoho měsíce, nicméně míra nejistoty je i zde vzhledem k současným nárůstům počtu nakažených a potřebě omezit rychlost šíření nákazy, enormní. Protáhne-li se do Vánoc, dopady do již tak klesající spotřeby domácností budou o mnoho vyšší.</w:t>
      </w:r>
      <w:r w:rsidR="005A2AF1" w:rsidRPr="000F790F">
        <w:rPr>
          <w:szCs w:val="18"/>
        </w:rPr>
        <w:t xml:space="preserve"> Ze sektorového pohledu budou nejvíce zasaženy opět </w:t>
      </w:r>
      <w:r w:rsidR="005A2AF1" w:rsidRPr="000F790F">
        <w:rPr>
          <w:szCs w:val="18"/>
        </w:rPr>
        <w:lastRenderedPageBreak/>
        <w:t>služby</w:t>
      </w:r>
      <w:r w:rsidR="00D47140">
        <w:rPr>
          <w:szCs w:val="18"/>
        </w:rPr>
        <w:t>, p</w:t>
      </w:r>
      <w:r w:rsidR="005A2AF1" w:rsidRPr="000F790F">
        <w:rPr>
          <w:szCs w:val="18"/>
        </w:rPr>
        <w:t xml:space="preserve">ro průmysl, </w:t>
      </w:r>
      <w:r w:rsidR="00761C3F">
        <w:rPr>
          <w:szCs w:val="18"/>
        </w:rPr>
        <w:t>zejména exportně orientovaný</w:t>
      </w:r>
      <w:r w:rsidR="00190861" w:rsidRPr="000F790F">
        <w:rPr>
          <w:szCs w:val="18"/>
        </w:rPr>
        <w:t>,</w:t>
      </w:r>
      <w:r w:rsidR="005A2AF1" w:rsidRPr="000F790F">
        <w:rPr>
          <w:szCs w:val="18"/>
        </w:rPr>
        <w:t xml:space="preserve"> </w:t>
      </w:r>
      <w:r w:rsidR="00761C3F">
        <w:rPr>
          <w:szCs w:val="18"/>
        </w:rPr>
        <w:t>je povzbudivá</w:t>
      </w:r>
      <w:r w:rsidR="005A2AF1" w:rsidRPr="000F790F">
        <w:rPr>
          <w:szCs w:val="18"/>
        </w:rPr>
        <w:t xml:space="preserve"> relativně dobrá situace v</w:t>
      </w:r>
      <w:r w:rsidR="00D47140">
        <w:rPr>
          <w:szCs w:val="18"/>
        </w:rPr>
        <w:t> </w:t>
      </w:r>
      <w:r w:rsidR="005A2AF1" w:rsidRPr="000F790F">
        <w:rPr>
          <w:szCs w:val="18"/>
        </w:rPr>
        <w:t>Německu</w:t>
      </w:r>
      <w:r w:rsidR="00D47140">
        <w:rPr>
          <w:szCs w:val="18"/>
        </w:rPr>
        <w:t>. Důležitým f</w:t>
      </w:r>
      <w:r w:rsidR="00761C3F">
        <w:rPr>
          <w:szCs w:val="18"/>
        </w:rPr>
        <w:t xml:space="preserve">aktorem je i </w:t>
      </w:r>
      <w:r w:rsidR="005A2AF1" w:rsidRPr="000F790F">
        <w:rPr>
          <w:szCs w:val="18"/>
        </w:rPr>
        <w:t xml:space="preserve">oslabující koruna, která na začátku října oslabila na úrovně </w:t>
      </w:r>
      <w:r w:rsidR="00761C3F">
        <w:rPr>
          <w:szCs w:val="18"/>
        </w:rPr>
        <w:t>z časů</w:t>
      </w:r>
      <w:r w:rsidR="005A2AF1" w:rsidRPr="000F790F">
        <w:rPr>
          <w:szCs w:val="18"/>
        </w:rPr>
        <w:t xml:space="preserve"> „kurzového závazku“ ČNB. </w:t>
      </w:r>
    </w:p>
    <w:p w14:paraId="1252D492" w14:textId="77777777" w:rsidR="005A2AF1" w:rsidRPr="000F790F" w:rsidRDefault="005A2AF1" w:rsidP="002E732D">
      <w:pPr>
        <w:rPr>
          <w:szCs w:val="18"/>
        </w:rPr>
      </w:pPr>
    </w:p>
    <w:p w14:paraId="39609741" w14:textId="6CEAD3C7" w:rsidR="005A2AF1" w:rsidRPr="000F790F" w:rsidRDefault="005A2AF1" w:rsidP="002E732D">
      <w:pPr>
        <w:rPr>
          <w:szCs w:val="18"/>
        </w:rPr>
      </w:pPr>
      <w:r w:rsidRPr="000F790F">
        <w:rPr>
          <w:szCs w:val="18"/>
        </w:rPr>
        <w:t xml:space="preserve">Přeloženo do řeči čísel, </w:t>
      </w:r>
      <w:r w:rsidRPr="006B03F0">
        <w:rPr>
          <w:b/>
          <w:bCs/>
          <w:szCs w:val="18"/>
        </w:rPr>
        <w:t xml:space="preserve">v letošním roce ČBA očekává propad HDP o </w:t>
      </w:r>
      <w:r w:rsidR="004F1275" w:rsidRPr="006B03F0">
        <w:rPr>
          <w:b/>
          <w:bCs/>
          <w:szCs w:val="18"/>
        </w:rPr>
        <w:t>8 %</w:t>
      </w:r>
      <w:r w:rsidR="007C2872">
        <w:rPr>
          <w:szCs w:val="18"/>
        </w:rPr>
        <w:t xml:space="preserve"> (</w:t>
      </w:r>
      <w:r w:rsidR="00FB6924">
        <w:rPr>
          <w:szCs w:val="18"/>
        </w:rPr>
        <w:t xml:space="preserve">jedná </w:t>
      </w:r>
      <w:r w:rsidR="00E77EE7">
        <w:rPr>
          <w:szCs w:val="18"/>
        </w:rPr>
        <w:t xml:space="preserve">se </w:t>
      </w:r>
      <w:r w:rsidR="00FB6924">
        <w:rPr>
          <w:szCs w:val="18"/>
        </w:rPr>
        <w:t xml:space="preserve">o medián vzniklý z odhadů </w:t>
      </w:r>
      <w:r w:rsidR="00D47140">
        <w:rPr>
          <w:szCs w:val="18"/>
        </w:rPr>
        <w:t>ekonomů bank zastoupených v prognostickém panelu ČBA</w:t>
      </w:r>
      <w:r w:rsidR="00FB6924">
        <w:rPr>
          <w:szCs w:val="18"/>
        </w:rPr>
        <w:t xml:space="preserve">, přičemž </w:t>
      </w:r>
      <w:r w:rsidR="00FB6924" w:rsidRPr="000F790F">
        <w:rPr>
          <w:szCs w:val="18"/>
        </w:rPr>
        <w:t>rozptyl</w:t>
      </w:r>
      <w:r w:rsidR="00FB6924">
        <w:rPr>
          <w:szCs w:val="18"/>
        </w:rPr>
        <w:t xml:space="preserve"> těchto odhadů </w:t>
      </w:r>
      <w:r w:rsidR="004F1275" w:rsidRPr="000F790F">
        <w:rPr>
          <w:szCs w:val="18"/>
        </w:rPr>
        <w:t xml:space="preserve">byl mezi </w:t>
      </w:r>
      <w:r w:rsidR="00D47140">
        <w:rPr>
          <w:szCs w:val="18"/>
        </w:rPr>
        <w:t>-</w:t>
      </w:r>
      <w:r w:rsidR="004F1275" w:rsidRPr="000F790F">
        <w:rPr>
          <w:szCs w:val="18"/>
        </w:rPr>
        <w:t>7,</w:t>
      </w:r>
      <w:r w:rsidR="002401B0" w:rsidRPr="000F790F">
        <w:rPr>
          <w:szCs w:val="18"/>
        </w:rPr>
        <w:t>0</w:t>
      </w:r>
      <w:r w:rsidR="004F1275" w:rsidRPr="000F790F">
        <w:rPr>
          <w:szCs w:val="18"/>
        </w:rPr>
        <w:t xml:space="preserve"> až -8,</w:t>
      </w:r>
      <w:r w:rsidR="002401B0" w:rsidRPr="000F790F">
        <w:rPr>
          <w:szCs w:val="18"/>
        </w:rPr>
        <w:t>8</w:t>
      </w:r>
      <w:r w:rsidR="004F1275" w:rsidRPr="000F790F">
        <w:rPr>
          <w:szCs w:val="18"/>
        </w:rPr>
        <w:t xml:space="preserve"> </w:t>
      </w:r>
      <w:r w:rsidR="004F1275" w:rsidRPr="0067201E">
        <w:rPr>
          <w:szCs w:val="18"/>
        </w:rPr>
        <w:t>%</w:t>
      </w:r>
      <w:r w:rsidR="007C2872" w:rsidRPr="0067201E">
        <w:rPr>
          <w:szCs w:val="18"/>
        </w:rPr>
        <w:t>)</w:t>
      </w:r>
      <w:r w:rsidR="004F1275" w:rsidRPr="0067201E">
        <w:rPr>
          <w:szCs w:val="18"/>
        </w:rPr>
        <w:t>.</w:t>
      </w:r>
      <w:r w:rsidRPr="0067201E">
        <w:rPr>
          <w:szCs w:val="18"/>
        </w:rPr>
        <w:t xml:space="preserve"> </w:t>
      </w:r>
      <w:r w:rsidR="002B3725" w:rsidRPr="0067201E">
        <w:rPr>
          <w:szCs w:val="18"/>
        </w:rPr>
        <w:t xml:space="preserve">Na relativně malou změnu prognózy </w:t>
      </w:r>
      <w:r w:rsidR="00D47140" w:rsidRPr="0067201E">
        <w:rPr>
          <w:szCs w:val="18"/>
        </w:rPr>
        <w:t xml:space="preserve">bankéřů </w:t>
      </w:r>
      <w:r w:rsidR="002B3725" w:rsidRPr="0067201E">
        <w:rPr>
          <w:szCs w:val="18"/>
        </w:rPr>
        <w:t>na letošek</w:t>
      </w:r>
      <w:r w:rsidR="00D47140" w:rsidRPr="0067201E">
        <w:rPr>
          <w:szCs w:val="18"/>
        </w:rPr>
        <w:t xml:space="preserve"> </w:t>
      </w:r>
      <w:r w:rsidR="007C2872" w:rsidRPr="0067201E">
        <w:rPr>
          <w:szCs w:val="18"/>
        </w:rPr>
        <w:t xml:space="preserve">– </w:t>
      </w:r>
      <w:r w:rsidR="00D47140" w:rsidRPr="0067201E">
        <w:rPr>
          <w:szCs w:val="18"/>
        </w:rPr>
        <w:t>v létě odhadovali 7,5% pokles</w:t>
      </w:r>
      <w:r w:rsidR="007C2872" w:rsidRPr="0067201E">
        <w:rPr>
          <w:szCs w:val="18"/>
        </w:rPr>
        <w:t xml:space="preserve"> –</w:t>
      </w:r>
      <w:r w:rsidR="00D47140" w:rsidRPr="0067201E">
        <w:rPr>
          <w:szCs w:val="18"/>
        </w:rPr>
        <w:t xml:space="preserve"> </w:t>
      </w:r>
      <w:r w:rsidR="002B3725" w:rsidRPr="0067201E">
        <w:rPr>
          <w:szCs w:val="18"/>
        </w:rPr>
        <w:t xml:space="preserve">měla vliv zejména </w:t>
      </w:r>
      <w:r w:rsidR="00190861" w:rsidRPr="0067201E">
        <w:rPr>
          <w:szCs w:val="18"/>
        </w:rPr>
        <w:t>skutečnost, že</w:t>
      </w:r>
      <w:r w:rsidR="00761C3F" w:rsidRPr="0067201E">
        <w:rPr>
          <w:szCs w:val="18"/>
        </w:rPr>
        <w:t xml:space="preserve"> ekonomika ve </w:t>
      </w:r>
      <w:r w:rsidR="006C3AF8" w:rsidRPr="0067201E">
        <w:rPr>
          <w:szCs w:val="18"/>
        </w:rPr>
        <w:t>třetí</w:t>
      </w:r>
      <w:r w:rsidR="00761C3F" w:rsidRPr="0067201E">
        <w:rPr>
          <w:szCs w:val="18"/>
        </w:rPr>
        <w:t>m</w:t>
      </w:r>
      <w:r w:rsidR="006C3AF8" w:rsidRPr="0067201E">
        <w:rPr>
          <w:szCs w:val="18"/>
        </w:rPr>
        <w:t xml:space="preserve"> čtvrtletí </w:t>
      </w:r>
      <w:r w:rsidR="00761C3F" w:rsidRPr="0067201E">
        <w:rPr>
          <w:szCs w:val="18"/>
        </w:rPr>
        <w:t xml:space="preserve">ožívala lépe, než usuzovaly předchozí odhady, </w:t>
      </w:r>
      <w:r w:rsidR="00190861" w:rsidRPr="0067201E">
        <w:rPr>
          <w:szCs w:val="18"/>
        </w:rPr>
        <w:t xml:space="preserve">což směřovalo k menšímu než očekávanému poklesu ekonomiky v letošním roce. Druhá vlna pandemie </w:t>
      </w:r>
      <w:r w:rsidR="006C3AF8" w:rsidRPr="0067201E">
        <w:rPr>
          <w:szCs w:val="18"/>
        </w:rPr>
        <w:t>však dosavadní vývoj narušila a z titulu výraznějšího propadu ve 4</w:t>
      </w:r>
      <w:r w:rsidR="006C3AF8" w:rsidRPr="000F790F">
        <w:rPr>
          <w:szCs w:val="18"/>
        </w:rPr>
        <w:t>. čtvrtletí se tak prognóza posou</w:t>
      </w:r>
      <w:r w:rsidR="00FB6924">
        <w:rPr>
          <w:szCs w:val="18"/>
        </w:rPr>
        <w:t>vá</w:t>
      </w:r>
      <w:r w:rsidR="006C3AF8" w:rsidRPr="000F790F">
        <w:rPr>
          <w:szCs w:val="18"/>
        </w:rPr>
        <w:t xml:space="preserve"> k </w:t>
      </w:r>
      <w:proofErr w:type="gramStart"/>
      <w:r w:rsidR="006C3AF8" w:rsidRPr="000F790F">
        <w:rPr>
          <w:szCs w:val="18"/>
        </w:rPr>
        <w:t>8%</w:t>
      </w:r>
      <w:proofErr w:type="gramEnd"/>
      <w:r w:rsidR="006C3AF8" w:rsidRPr="000F790F">
        <w:rPr>
          <w:szCs w:val="18"/>
        </w:rPr>
        <w:t xml:space="preserve"> propadu ekonomiky v letošním roce. </w:t>
      </w:r>
      <w:r w:rsidR="00A257D9" w:rsidRPr="000F790F">
        <w:rPr>
          <w:szCs w:val="18"/>
        </w:rPr>
        <w:t xml:space="preserve">Revize čtvrtého čtvrtletí se </w:t>
      </w:r>
      <w:r w:rsidR="006C3AF8" w:rsidRPr="000F790F">
        <w:rPr>
          <w:szCs w:val="18"/>
        </w:rPr>
        <w:t xml:space="preserve">pak </w:t>
      </w:r>
      <w:r w:rsidR="00761C3F">
        <w:rPr>
          <w:szCs w:val="18"/>
        </w:rPr>
        <w:t>hlavně</w:t>
      </w:r>
      <w:r w:rsidR="00A257D9" w:rsidRPr="000F790F">
        <w:rPr>
          <w:szCs w:val="18"/>
        </w:rPr>
        <w:t xml:space="preserve"> projeví </w:t>
      </w:r>
      <w:r w:rsidR="006C3AF8" w:rsidRPr="000F790F">
        <w:rPr>
          <w:szCs w:val="18"/>
        </w:rPr>
        <w:t xml:space="preserve">v citelně pomalejším růstu </w:t>
      </w:r>
      <w:r w:rsidR="00A257D9" w:rsidRPr="000F790F">
        <w:rPr>
          <w:szCs w:val="18"/>
        </w:rPr>
        <w:t>HDP v roce 2021, než</w:t>
      </w:r>
      <w:r w:rsidR="006C3AF8" w:rsidRPr="000F790F">
        <w:rPr>
          <w:szCs w:val="18"/>
        </w:rPr>
        <w:t xml:space="preserve"> očekávala předchozí prognóza</w:t>
      </w:r>
      <w:r w:rsidR="00FB6924">
        <w:rPr>
          <w:szCs w:val="18"/>
        </w:rPr>
        <w:t xml:space="preserve"> ČBA</w:t>
      </w:r>
      <w:r w:rsidR="006C3AF8" w:rsidRPr="000F790F">
        <w:rPr>
          <w:szCs w:val="18"/>
        </w:rPr>
        <w:t xml:space="preserve">. </w:t>
      </w:r>
    </w:p>
    <w:p w14:paraId="508D6F24" w14:textId="5BE3B73A" w:rsidR="005A2AF1" w:rsidRPr="000F790F" w:rsidRDefault="005A2AF1" w:rsidP="002E732D">
      <w:pPr>
        <w:rPr>
          <w:szCs w:val="18"/>
        </w:rPr>
      </w:pPr>
    </w:p>
    <w:p w14:paraId="4528089B" w14:textId="7EC6BA46" w:rsidR="002E732D" w:rsidRPr="000F790F" w:rsidRDefault="005A2AF1" w:rsidP="002E732D">
      <w:pPr>
        <w:rPr>
          <w:szCs w:val="18"/>
        </w:rPr>
      </w:pPr>
      <w:r w:rsidRPr="000F790F">
        <w:rPr>
          <w:szCs w:val="18"/>
        </w:rPr>
        <w:t>V</w:t>
      </w:r>
      <w:r w:rsidR="003F2B91" w:rsidRPr="000F790F">
        <w:rPr>
          <w:szCs w:val="18"/>
        </w:rPr>
        <w:t xml:space="preserve"> letošním roce </w:t>
      </w:r>
      <w:r w:rsidR="004F1275" w:rsidRPr="000F790F">
        <w:rPr>
          <w:szCs w:val="18"/>
        </w:rPr>
        <w:t xml:space="preserve">jsou </w:t>
      </w:r>
      <w:r w:rsidR="003F2B91" w:rsidRPr="000F790F">
        <w:rPr>
          <w:szCs w:val="18"/>
        </w:rPr>
        <w:t>nej</w:t>
      </w:r>
      <w:r w:rsidR="006E335A" w:rsidRPr="000F790F">
        <w:rPr>
          <w:szCs w:val="18"/>
        </w:rPr>
        <w:t>více zasažené</w:t>
      </w:r>
      <w:r w:rsidR="003F2B91" w:rsidRPr="000F790F">
        <w:rPr>
          <w:szCs w:val="18"/>
        </w:rPr>
        <w:t xml:space="preserve"> soukromé investice a exporty. Pokles soukromých investic bankovní analytici odhadují meziročně na </w:t>
      </w:r>
      <w:r w:rsidR="004F1275" w:rsidRPr="000F790F">
        <w:rPr>
          <w:szCs w:val="18"/>
        </w:rPr>
        <w:t>8</w:t>
      </w:r>
      <w:r w:rsidR="003F2B91" w:rsidRPr="000F790F">
        <w:rPr>
          <w:szCs w:val="18"/>
        </w:rPr>
        <w:t xml:space="preserve"> %</w:t>
      </w:r>
      <w:r w:rsidR="004F1275" w:rsidRPr="000F790F">
        <w:rPr>
          <w:szCs w:val="18"/>
        </w:rPr>
        <w:t xml:space="preserve"> (což je ovšem o polovinu méně, než byl červencový odhad)</w:t>
      </w:r>
      <w:r w:rsidR="003F2B91" w:rsidRPr="000F790F">
        <w:rPr>
          <w:szCs w:val="18"/>
        </w:rPr>
        <w:t xml:space="preserve">, meziroční pokles exportního výkonu na </w:t>
      </w:r>
      <w:r w:rsidR="004F1275" w:rsidRPr="000F790F">
        <w:rPr>
          <w:szCs w:val="18"/>
        </w:rPr>
        <w:t>1</w:t>
      </w:r>
      <w:r w:rsidR="002401B0" w:rsidRPr="000F790F">
        <w:rPr>
          <w:szCs w:val="18"/>
        </w:rPr>
        <w:t>1</w:t>
      </w:r>
      <w:r w:rsidR="004F1275" w:rsidRPr="000F790F">
        <w:rPr>
          <w:szCs w:val="18"/>
        </w:rPr>
        <w:t>,</w:t>
      </w:r>
      <w:r w:rsidR="002401B0" w:rsidRPr="000F790F">
        <w:rPr>
          <w:szCs w:val="18"/>
        </w:rPr>
        <w:t>7</w:t>
      </w:r>
      <w:r w:rsidR="003F2B91" w:rsidRPr="000F790F">
        <w:rPr>
          <w:szCs w:val="18"/>
        </w:rPr>
        <w:t xml:space="preserve"> %. Dopad na čisté exporty (a tedy do HDP) bude zmírňován souběžným poklesem dovozů odhadovaným pro letošek na mediánových </w:t>
      </w:r>
      <w:r w:rsidR="002401B0" w:rsidRPr="000F790F">
        <w:rPr>
          <w:szCs w:val="18"/>
        </w:rPr>
        <w:t>9</w:t>
      </w:r>
      <w:r w:rsidR="003F2B91" w:rsidRPr="000F790F">
        <w:rPr>
          <w:szCs w:val="18"/>
        </w:rPr>
        <w:t xml:space="preserve"> %. </w:t>
      </w:r>
      <w:r w:rsidR="006E335A" w:rsidRPr="000F790F">
        <w:rPr>
          <w:szCs w:val="18"/>
        </w:rPr>
        <w:t xml:space="preserve">Soukromá spotřeba bude – mj. i díky vládním opatřením typu </w:t>
      </w:r>
      <w:r w:rsidR="00761C3F">
        <w:rPr>
          <w:szCs w:val="18"/>
        </w:rPr>
        <w:t>Antivirus</w:t>
      </w:r>
      <w:r w:rsidR="00761C3F">
        <w:rPr>
          <w:i/>
          <w:szCs w:val="18"/>
        </w:rPr>
        <w:t>-</w:t>
      </w:r>
      <w:r w:rsidR="007E4E82" w:rsidRPr="000F790F">
        <w:rPr>
          <w:i/>
          <w:szCs w:val="18"/>
        </w:rPr>
        <w:t xml:space="preserve"> </w:t>
      </w:r>
      <w:r w:rsidR="006E335A" w:rsidRPr="000F790F">
        <w:rPr>
          <w:szCs w:val="18"/>
        </w:rPr>
        <w:t xml:space="preserve"> letos zasažena </w:t>
      </w:r>
      <w:r w:rsidR="00B4716E" w:rsidRPr="000F790F">
        <w:rPr>
          <w:szCs w:val="18"/>
        </w:rPr>
        <w:t xml:space="preserve">sice </w:t>
      </w:r>
      <w:r w:rsidR="006E335A" w:rsidRPr="000F790F">
        <w:rPr>
          <w:szCs w:val="18"/>
        </w:rPr>
        <w:t xml:space="preserve">mírněji, </w:t>
      </w:r>
      <w:r w:rsidR="00B4716E" w:rsidRPr="000F790F">
        <w:rPr>
          <w:szCs w:val="18"/>
        </w:rPr>
        <w:t>přesto však citelně vzhledem k předpokládanému zvýšení sklonu domácností k úsporám vyvolané</w:t>
      </w:r>
      <w:r w:rsidR="00D236FC" w:rsidRPr="000F790F">
        <w:rPr>
          <w:szCs w:val="18"/>
        </w:rPr>
        <w:t>mu enormními nejistotami. P</w:t>
      </w:r>
      <w:r w:rsidR="00B4716E" w:rsidRPr="000F790F">
        <w:rPr>
          <w:szCs w:val="18"/>
        </w:rPr>
        <w:t xml:space="preserve">okles </w:t>
      </w:r>
      <w:r w:rsidR="00D236FC" w:rsidRPr="000F790F">
        <w:rPr>
          <w:szCs w:val="18"/>
        </w:rPr>
        <w:t xml:space="preserve">soukromé spotřeby </w:t>
      </w:r>
      <w:r w:rsidR="00B4716E" w:rsidRPr="000F790F">
        <w:rPr>
          <w:szCs w:val="18"/>
        </w:rPr>
        <w:t xml:space="preserve">proto prognostický panel </w:t>
      </w:r>
      <w:r w:rsidR="006E335A" w:rsidRPr="000F790F">
        <w:rPr>
          <w:szCs w:val="18"/>
        </w:rPr>
        <w:t>odhaduje</w:t>
      </w:r>
      <w:r w:rsidR="00B4716E" w:rsidRPr="000F790F">
        <w:rPr>
          <w:szCs w:val="18"/>
        </w:rPr>
        <w:t xml:space="preserve"> na</w:t>
      </w:r>
      <w:r w:rsidR="006E335A" w:rsidRPr="000F790F">
        <w:rPr>
          <w:szCs w:val="18"/>
        </w:rPr>
        <w:t xml:space="preserve"> </w:t>
      </w:r>
      <w:r w:rsidR="004F1275" w:rsidRPr="000F790F">
        <w:rPr>
          <w:szCs w:val="18"/>
        </w:rPr>
        <w:t>5</w:t>
      </w:r>
      <w:r w:rsidR="002401B0" w:rsidRPr="000F790F">
        <w:rPr>
          <w:szCs w:val="18"/>
        </w:rPr>
        <w:t xml:space="preserve"> </w:t>
      </w:r>
      <w:r w:rsidR="006E335A" w:rsidRPr="000F790F">
        <w:rPr>
          <w:szCs w:val="18"/>
        </w:rPr>
        <w:t xml:space="preserve">%. </w:t>
      </w:r>
      <w:r w:rsidR="00B4716E" w:rsidRPr="000F790F">
        <w:rPr>
          <w:szCs w:val="18"/>
        </w:rPr>
        <w:t>Jedinou rostoucí složkou tak zůstane v</w:t>
      </w:r>
      <w:r w:rsidR="006E335A" w:rsidRPr="000F790F">
        <w:rPr>
          <w:szCs w:val="18"/>
        </w:rPr>
        <w:t>ládní spotřeba</w:t>
      </w:r>
      <w:r w:rsidR="00B4716E" w:rsidRPr="000F790F">
        <w:rPr>
          <w:szCs w:val="18"/>
        </w:rPr>
        <w:t xml:space="preserve"> s odhadovaným meziročním nárůstem</w:t>
      </w:r>
      <w:r w:rsidR="006E335A" w:rsidRPr="000F790F">
        <w:rPr>
          <w:szCs w:val="18"/>
        </w:rPr>
        <w:t xml:space="preserve"> o </w:t>
      </w:r>
      <w:r w:rsidR="002401B0" w:rsidRPr="000F790F">
        <w:rPr>
          <w:szCs w:val="18"/>
        </w:rPr>
        <w:t>3</w:t>
      </w:r>
      <w:r w:rsidR="004F1275" w:rsidRPr="000F790F">
        <w:rPr>
          <w:szCs w:val="18"/>
        </w:rPr>
        <w:t>,</w:t>
      </w:r>
      <w:r w:rsidR="002401B0" w:rsidRPr="000F790F">
        <w:rPr>
          <w:szCs w:val="18"/>
        </w:rPr>
        <w:t>8</w:t>
      </w:r>
      <w:r w:rsidR="006E335A" w:rsidRPr="000F790F">
        <w:rPr>
          <w:szCs w:val="18"/>
        </w:rPr>
        <w:t xml:space="preserve"> %. </w:t>
      </w:r>
    </w:p>
    <w:p w14:paraId="086F2C63" w14:textId="77777777" w:rsidR="00356262" w:rsidRDefault="00356262" w:rsidP="007C2872">
      <w:pPr>
        <w:rPr>
          <w:i/>
          <w:iCs/>
          <w:szCs w:val="18"/>
        </w:rPr>
      </w:pPr>
    </w:p>
    <w:p w14:paraId="59C4AF04" w14:textId="1703D0D5" w:rsidR="007C2872" w:rsidRPr="000F790F" w:rsidRDefault="007C2872" w:rsidP="007C2872">
      <w:pPr>
        <w:rPr>
          <w:szCs w:val="18"/>
        </w:rPr>
      </w:pPr>
      <w:r w:rsidRPr="000F790F">
        <w:rPr>
          <w:i/>
          <w:iCs/>
          <w:szCs w:val="18"/>
        </w:rPr>
        <w:t xml:space="preserve">„Vzhledem k novým restrikcím zaznamená tuzemská ekonomika v posledním čtvrtletí letošního roku opětovný pokles a dosavadní bezprecedentní meziroční propad ekonomiky ve druhém čtvrtletí o 11 % tak v posledním čtvrtletí ještě zesílí.  Realizuje se tak nepříznivý scénář ekonomického vývoje ve tvaru W, zároveň nástup druhé vlny pandemie ovlivní také očekávaný růst v roce příštím, který tak bude patrně podstatně slabší, než se očekávalo před několika měsíci“, </w:t>
      </w:r>
      <w:r w:rsidRPr="000F790F">
        <w:rPr>
          <w:szCs w:val="18"/>
        </w:rPr>
        <w:t>poznamenává Jakub Seidler, hlavní ekonom ING Bank v ČR.</w:t>
      </w:r>
    </w:p>
    <w:p w14:paraId="14394CE4" w14:textId="77777777" w:rsidR="006E335A" w:rsidRPr="000F790F" w:rsidRDefault="006E335A" w:rsidP="002E732D">
      <w:pPr>
        <w:rPr>
          <w:szCs w:val="18"/>
        </w:rPr>
      </w:pPr>
    </w:p>
    <w:p w14:paraId="29C56CD4" w14:textId="12FBDBDA" w:rsidR="00302716" w:rsidRPr="000F790F" w:rsidRDefault="004A7D28" w:rsidP="002E732D">
      <w:pPr>
        <w:rPr>
          <w:sz w:val="20"/>
        </w:rPr>
      </w:pPr>
      <w:r w:rsidRPr="006B03F0">
        <w:rPr>
          <w:b/>
          <w:bCs/>
          <w:szCs w:val="18"/>
        </w:rPr>
        <w:t>Pro</w:t>
      </w:r>
      <w:r w:rsidR="00302716" w:rsidRPr="006B03F0">
        <w:rPr>
          <w:b/>
          <w:bCs/>
          <w:szCs w:val="18"/>
        </w:rPr>
        <w:t xml:space="preserve"> rok</w:t>
      </w:r>
      <w:r w:rsidRPr="006B03F0">
        <w:rPr>
          <w:b/>
          <w:bCs/>
          <w:szCs w:val="18"/>
        </w:rPr>
        <w:t xml:space="preserve"> 2021</w:t>
      </w:r>
      <w:r w:rsidR="00302716" w:rsidRPr="000F790F">
        <w:rPr>
          <w:szCs w:val="18"/>
        </w:rPr>
        <w:t xml:space="preserve"> očekávají bankovní analytici </w:t>
      </w:r>
      <w:r w:rsidR="00C66EF2" w:rsidRPr="000F790F">
        <w:rPr>
          <w:szCs w:val="18"/>
        </w:rPr>
        <w:t>návrat k růstu HDP, ovšem 2,</w:t>
      </w:r>
      <w:r w:rsidR="003305B2" w:rsidRPr="000F790F">
        <w:rPr>
          <w:szCs w:val="18"/>
        </w:rPr>
        <w:t>0</w:t>
      </w:r>
      <w:r w:rsidR="00C66EF2" w:rsidRPr="000F790F">
        <w:rPr>
          <w:szCs w:val="18"/>
        </w:rPr>
        <w:t xml:space="preserve"> % j</w:t>
      </w:r>
      <w:r w:rsidR="00761C3F">
        <w:rPr>
          <w:szCs w:val="18"/>
        </w:rPr>
        <w:t xml:space="preserve">sou necelá polovina </w:t>
      </w:r>
      <w:r w:rsidR="00C66EF2" w:rsidRPr="000F790F">
        <w:rPr>
          <w:szCs w:val="18"/>
        </w:rPr>
        <w:t xml:space="preserve">v červenci očekávané hodnoty. Obdobně nízké jsou i tempa růstu jednotlivých složek užití HDP. Co do struktury růstu analytici očekávají </w:t>
      </w:r>
      <w:r w:rsidR="00302716" w:rsidRPr="000F790F">
        <w:rPr>
          <w:szCs w:val="18"/>
        </w:rPr>
        <w:t>meziroční</w:t>
      </w:r>
      <w:r w:rsidR="00C66EF2" w:rsidRPr="000F790F">
        <w:rPr>
          <w:szCs w:val="18"/>
        </w:rPr>
        <w:t xml:space="preserve"> oživení</w:t>
      </w:r>
      <w:r w:rsidR="00302716" w:rsidRPr="000F790F">
        <w:rPr>
          <w:szCs w:val="18"/>
        </w:rPr>
        <w:t xml:space="preserve"> soukromé spotřeby o 1</w:t>
      </w:r>
      <w:r w:rsidR="00C66EF2" w:rsidRPr="000F790F">
        <w:rPr>
          <w:szCs w:val="18"/>
        </w:rPr>
        <w:t>,9</w:t>
      </w:r>
      <w:r w:rsidR="00302716" w:rsidRPr="000F790F">
        <w:rPr>
          <w:szCs w:val="18"/>
        </w:rPr>
        <w:t xml:space="preserve"> %, investic o </w:t>
      </w:r>
      <w:r w:rsidR="00C66EF2" w:rsidRPr="000F790F">
        <w:rPr>
          <w:szCs w:val="18"/>
        </w:rPr>
        <w:t>2</w:t>
      </w:r>
      <w:r w:rsidR="00302716" w:rsidRPr="000F790F">
        <w:rPr>
          <w:szCs w:val="18"/>
        </w:rPr>
        <w:t>,</w:t>
      </w:r>
      <w:r w:rsidR="002401B0" w:rsidRPr="000F790F">
        <w:rPr>
          <w:szCs w:val="18"/>
        </w:rPr>
        <w:t>6</w:t>
      </w:r>
      <w:r w:rsidR="00302716" w:rsidRPr="000F790F">
        <w:rPr>
          <w:szCs w:val="18"/>
        </w:rPr>
        <w:t xml:space="preserve"> %, exportní aktivit</w:t>
      </w:r>
      <w:r w:rsidR="00520C82">
        <w:rPr>
          <w:szCs w:val="18"/>
        </w:rPr>
        <w:t>y</w:t>
      </w:r>
      <w:r w:rsidR="00302716" w:rsidRPr="000F790F">
        <w:rPr>
          <w:szCs w:val="18"/>
        </w:rPr>
        <w:t xml:space="preserve"> </w:t>
      </w:r>
      <w:r w:rsidR="00761C3F">
        <w:rPr>
          <w:szCs w:val="18"/>
        </w:rPr>
        <w:t>o</w:t>
      </w:r>
      <w:r w:rsidR="00302716" w:rsidRPr="000F790F">
        <w:rPr>
          <w:szCs w:val="18"/>
        </w:rPr>
        <w:t xml:space="preserve"> </w:t>
      </w:r>
      <w:r w:rsidR="00C66EF2" w:rsidRPr="000F790F">
        <w:rPr>
          <w:szCs w:val="18"/>
        </w:rPr>
        <w:t>6</w:t>
      </w:r>
      <w:r w:rsidR="00302716" w:rsidRPr="000F790F">
        <w:rPr>
          <w:szCs w:val="18"/>
        </w:rPr>
        <w:t xml:space="preserve"> %</w:t>
      </w:r>
      <w:r w:rsidR="00761C3F">
        <w:rPr>
          <w:szCs w:val="18"/>
        </w:rPr>
        <w:t>, stejně jako</w:t>
      </w:r>
      <w:r w:rsidR="00520C82">
        <w:rPr>
          <w:szCs w:val="18"/>
        </w:rPr>
        <w:t xml:space="preserve"> dovozů</w:t>
      </w:r>
      <w:r w:rsidR="000A1EA1" w:rsidRPr="000F790F">
        <w:rPr>
          <w:szCs w:val="18"/>
        </w:rPr>
        <w:t>.</w:t>
      </w:r>
      <w:r w:rsidR="00302716" w:rsidRPr="000F790F">
        <w:rPr>
          <w:szCs w:val="18"/>
        </w:rPr>
        <w:t xml:space="preserve"> Vzhledem k volebnímu roku prognostický panel ČBA</w:t>
      </w:r>
      <w:r w:rsidR="00761C3F" w:rsidRPr="00761C3F">
        <w:rPr>
          <w:szCs w:val="18"/>
        </w:rPr>
        <w:t xml:space="preserve"> </w:t>
      </w:r>
      <w:r w:rsidR="00761C3F" w:rsidRPr="000F790F">
        <w:rPr>
          <w:szCs w:val="18"/>
        </w:rPr>
        <w:t>neočekává</w:t>
      </w:r>
      <w:r w:rsidR="00302716" w:rsidRPr="000F790F">
        <w:rPr>
          <w:szCs w:val="18"/>
        </w:rPr>
        <w:t>, že by se z ekonomiky výrazněji stahovala vláda</w:t>
      </w:r>
      <w:r w:rsidR="002B3725" w:rsidRPr="000F790F">
        <w:rPr>
          <w:szCs w:val="18"/>
        </w:rPr>
        <w:t>, což potvrzuje i navržená výše schodku veřejných financí</w:t>
      </w:r>
      <w:r w:rsidR="00302716" w:rsidRPr="000F790F">
        <w:rPr>
          <w:szCs w:val="18"/>
        </w:rPr>
        <w:t>. Očekávaný nárůst vládní spotřeby pro rok 2021 je sice 2,</w:t>
      </w:r>
      <w:r w:rsidR="002401B0" w:rsidRPr="000F790F">
        <w:rPr>
          <w:szCs w:val="18"/>
        </w:rPr>
        <w:t>5</w:t>
      </w:r>
      <w:r w:rsidR="00302716" w:rsidRPr="000F790F">
        <w:rPr>
          <w:szCs w:val="18"/>
        </w:rPr>
        <w:t xml:space="preserve"> %</w:t>
      </w:r>
      <w:r w:rsidR="00A71A8B">
        <w:rPr>
          <w:szCs w:val="18"/>
        </w:rPr>
        <w:t xml:space="preserve">, tedy </w:t>
      </w:r>
      <w:r w:rsidR="00C66EF2" w:rsidRPr="000F790F">
        <w:rPr>
          <w:szCs w:val="18"/>
        </w:rPr>
        <w:t>o 1,</w:t>
      </w:r>
      <w:r w:rsidR="002401B0" w:rsidRPr="000F790F">
        <w:rPr>
          <w:szCs w:val="18"/>
        </w:rPr>
        <w:t>3</w:t>
      </w:r>
      <w:r w:rsidR="00C66EF2" w:rsidRPr="000F790F">
        <w:rPr>
          <w:szCs w:val="18"/>
        </w:rPr>
        <w:t xml:space="preserve"> </w:t>
      </w:r>
      <w:r w:rsidR="00A71A8B">
        <w:rPr>
          <w:szCs w:val="18"/>
        </w:rPr>
        <w:t>procentního bodu</w:t>
      </w:r>
      <w:r w:rsidR="00C66EF2" w:rsidRPr="000F790F">
        <w:rPr>
          <w:szCs w:val="18"/>
        </w:rPr>
        <w:t xml:space="preserve"> </w:t>
      </w:r>
      <w:r w:rsidR="000F790F" w:rsidRPr="000F790F">
        <w:rPr>
          <w:szCs w:val="18"/>
        </w:rPr>
        <w:t>nižší než leto</w:t>
      </w:r>
      <w:r w:rsidR="00A71A8B">
        <w:rPr>
          <w:szCs w:val="18"/>
        </w:rPr>
        <w:t xml:space="preserve">s, ale přípravy rozpočtu jsou letos podstatně komplikovanější, než kdy v minulosti.  </w:t>
      </w:r>
    </w:p>
    <w:p w14:paraId="60599839" w14:textId="4DE8FA57" w:rsidR="0067027E" w:rsidRPr="000F790F" w:rsidRDefault="0067027E" w:rsidP="000E3A69">
      <w:pPr>
        <w:rPr>
          <w:sz w:val="20"/>
        </w:rPr>
      </w:pPr>
    </w:p>
    <w:p w14:paraId="2FB25880" w14:textId="1D72E25A" w:rsidR="005C60BB" w:rsidRPr="000F790F" w:rsidRDefault="005C60BB" w:rsidP="005C60BB">
      <w:pPr>
        <w:rPr>
          <w:b/>
          <w:color w:val="007E79"/>
          <w:sz w:val="20"/>
        </w:rPr>
      </w:pPr>
      <w:r w:rsidRPr="000F790F">
        <w:rPr>
          <w:b/>
          <w:color w:val="007E79"/>
          <w:sz w:val="20"/>
        </w:rPr>
        <w:t>Trh práce</w:t>
      </w:r>
      <w:r w:rsidR="006A54C3" w:rsidRPr="000F790F">
        <w:rPr>
          <w:b/>
          <w:color w:val="007E79"/>
          <w:sz w:val="20"/>
        </w:rPr>
        <w:t xml:space="preserve"> – strukturální problémy přetrvávají</w:t>
      </w:r>
    </w:p>
    <w:p w14:paraId="3A793FDC" w14:textId="7A2DA1E4" w:rsidR="00DA4328" w:rsidRPr="000F790F" w:rsidRDefault="00A07E80" w:rsidP="005C60BB">
      <w:pPr>
        <w:rPr>
          <w:noProof/>
          <w:szCs w:val="18"/>
        </w:rPr>
      </w:pPr>
      <w:r>
        <w:rPr>
          <w:noProof/>
          <w:szCs w:val="18"/>
        </w:rPr>
        <w:t xml:space="preserve">Je jisté, že </w:t>
      </w:r>
      <w:r w:rsidRPr="00CE6DF9">
        <w:rPr>
          <w:noProof/>
          <w:szCs w:val="18"/>
        </w:rPr>
        <w:t>období</w:t>
      </w:r>
      <w:r>
        <w:rPr>
          <w:noProof/>
          <w:szCs w:val="18"/>
        </w:rPr>
        <w:t xml:space="preserve"> </w:t>
      </w:r>
      <w:r w:rsidRPr="005A7A4D">
        <w:rPr>
          <w:noProof/>
          <w:szCs w:val="18"/>
        </w:rPr>
        <w:t>nejvyšší</w:t>
      </w:r>
      <w:r w:rsidRPr="006B03F0">
        <w:rPr>
          <w:noProof/>
          <w:szCs w:val="18"/>
        </w:rPr>
        <w:t xml:space="preserve"> zaměstnanosti, jakožto i</w:t>
      </w:r>
      <w:r w:rsidR="00DA4328" w:rsidRPr="005A7A4D">
        <w:rPr>
          <w:noProof/>
          <w:szCs w:val="18"/>
        </w:rPr>
        <w:t xml:space="preserve"> nejnižší nezaměstnanosti</w:t>
      </w:r>
      <w:r w:rsidR="00DA4328" w:rsidRPr="000F790F">
        <w:rPr>
          <w:noProof/>
          <w:szCs w:val="18"/>
        </w:rPr>
        <w:t xml:space="preserve"> </w:t>
      </w:r>
      <w:r>
        <w:rPr>
          <w:noProof/>
          <w:szCs w:val="18"/>
        </w:rPr>
        <w:t>má český trh práce již</w:t>
      </w:r>
      <w:r w:rsidR="00DA4328" w:rsidRPr="000F790F">
        <w:rPr>
          <w:noProof/>
          <w:szCs w:val="18"/>
        </w:rPr>
        <w:t xml:space="preserve"> za sebou</w:t>
      </w:r>
      <w:r>
        <w:rPr>
          <w:noProof/>
          <w:szCs w:val="18"/>
        </w:rPr>
        <w:t>. Nyní je otázkou</w:t>
      </w:r>
      <w:r w:rsidR="00DA4328" w:rsidRPr="000F790F">
        <w:rPr>
          <w:noProof/>
          <w:szCs w:val="18"/>
        </w:rPr>
        <w:t xml:space="preserve">, kdy </w:t>
      </w:r>
      <w:r>
        <w:rPr>
          <w:noProof/>
          <w:szCs w:val="18"/>
        </w:rPr>
        <w:t xml:space="preserve">přesně </w:t>
      </w:r>
      <w:r w:rsidR="00DA4328" w:rsidRPr="000F790F">
        <w:rPr>
          <w:noProof/>
          <w:szCs w:val="18"/>
        </w:rPr>
        <w:t>a v jaké míře se na něm projeví</w:t>
      </w:r>
      <w:r w:rsidRPr="00A07E80">
        <w:rPr>
          <w:noProof/>
          <w:szCs w:val="18"/>
        </w:rPr>
        <w:t xml:space="preserve"> </w:t>
      </w:r>
      <w:r w:rsidRPr="000F790F">
        <w:rPr>
          <w:noProof/>
          <w:szCs w:val="18"/>
        </w:rPr>
        <w:t>dopady pandemie</w:t>
      </w:r>
      <w:r w:rsidR="00DA4328" w:rsidRPr="000F790F">
        <w:rPr>
          <w:noProof/>
          <w:szCs w:val="18"/>
        </w:rPr>
        <w:t xml:space="preserve">. </w:t>
      </w:r>
      <w:r w:rsidR="0027402B" w:rsidRPr="000F790F">
        <w:rPr>
          <w:noProof/>
          <w:szCs w:val="18"/>
        </w:rPr>
        <w:t xml:space="preserve">Zaměstnanost klesá už od 2. čtvrtletí 2019 a lze očekávat, že její pokles bude letos i v příštím roce pokračovat. Souběžně </w:t>
      </w:r>
      <w:r>
        <w:rPr>
          <w:noProof/>
          <w:szCs w:val="18"/>
        </w:rPr>
        <w:t xml:space="preserve">dle prognostického panelu ČBA </w:t>
      </w:r>
      <w:r w:rsidR="0027402B" w:rsidRPr="000F790F">
        <w:rPr>
          <w:noProof/>
          <w:szCs w:val="18"/>
        </w:rPr>
        <w:t xml:space="preserve">poroste i míra nezaměstnanosti, a to o </w:t>
      </w:r>
      <w:r w:rsidR="00F46BA9" w:rsidRPr="000F790F">
        <w:rPr>
          <w:noProof/>
          <w:szCs w:val="18"/>
        </w:rPr>
        <w:t xml:space="preserve">3,7 % </w:t>
      </w:r>
      <w:r w:rsidR="0027402B" w:rsidRPr="000F790F">
        <w:rPr>
          <w:noProof/>
          <w:szCs w:val="18"/>
        </w:rPr>
        <w:t xml:space="preserve">v roce 2020 a o </w:t>
      </w:r>
      <w:r w:rsidR="00F46BA9" w:rsidRPr="000F790F">
        <w:rPr>
          <w:noProof/>
          <w:szCs w:val="18"/>
        </w:rPr>
        <w:t>4,7 %</w:t>
      </w:r>
      <w:r w:rsidR="0027402B" w:rsidRPr="000F790F">
        <w:rPr>
          <w:noProof/>
          <w:szCs w:val="18"/>
        </w:rPr>
        <w:t xml:space="preserve"> v roce 2021. </w:t>
      </w:r>
      <w:r w:rsidR="00A71A8B">
        <w:rPr>
          <w:noProof/>
          <w:szCs w:val="18"/>
        </w:rPr>
        <w:t>Vyššímu tlaku</w:t>
      </w:r>
      <w:r w:rsidR="0027402B" w:rsidRPr="000F790F">
        <w:rPr>
          <w:noProof/>
          <w:szCs w:val="18"/>
        </w:rPr>
        <w:t xml:space="preserve"> budou bránit vládní podpůrná opatření</w:t>
      </w:r>
      <w:r w:rsidR="00A71A8B">
        <w:rPr>
          <w:noProof/>
          <w:szCs w:val="18"/>
        </w:rPr>
        <w:t>, n</w:t>
      </w:r>
      <w:r w:rsidR="0027402B" w:rsidRPr="000F790F">
        <w:rPr>
          <w:noProof/>
          <w:szCs w:val="18"/>
        </w:rPr>
        <w:t xml:space="preserve">a druhou stranu zejména </w:t>
      </w:r>
      <w:r w:rsidR="00A71A8B">
        <w:rPr>
          <w:noProof/>
          <w:szCs w:val="18"/>
        </w:rPr>
        <w:t>v některých oborech</w:t>
      </w:r>
      <w:r w:rsidR="0027402B" w:rsidRPr="000F790F">
        <w:rPr>
          <w:noProof/>
          <w:szCs w:val="18"/>
        </w:rPr>
        <w:t xml:space="preserve"> služeb, </w:t>
      </w:r>
      <w:r w:rsidR="00A71A8B">
        <w:rPr>
          <w:noProof/>
          <w:szCs w:val="18"/>
        </w:rPr>
        <w:t>postižených dlouhodobější ztrátou perspektivy dojde k odlivu, jak lidé</w:t>
      </w:r>
      <w:r w:rsidR="0027402B" w:rsidRPr="000F790F">
        <w:rPr>
          <w:noProof/>
          <w:szCs w:val="18"/>
        </w:rPr>
        <w:t xml:space="preserve"> budou hledat zaměstnání jinde. Zejména regionálně to může vyvolávat určité </w:t>
      </w:r>
      <w:r w:rsidR="00D91982">
        <w:rPr>
          <w:noProof/>
          <w:szCs w:val="18"/>
        </w:rPr>
        <w:t>napětí na pracovním trhu</w:t>
      </w:r>
      <w:r w:rsidR="0027402B" w:rsidRPr="000F790F">
        <w:rPr>
          <w:noProof/>
          <w:szCs w:val="18"/>
        </w:rPr>
        <w:t>.</w:t>
      </w:r>
    </w:p>
    <w:p w14:paraId="0A3979AD" w14:textId="77777777" w:rsidR="00453E1C" w:rsidRPr="000F790F" w:rsidRDefault="00453E1C" w:rsidP="005C60BB">
      <w:pPr>
        <w:rPr>
          <w:i/>
          <w:noProof/>
          <w:szCs w:val="18"/>
        </w:rPr>
      </w:pPr>
    </w:p>
    <w:p w14:paraId="59FD8750" w14:textId="2C44F5DD" w:rsidR="00453E1C" w:rsidRPr="000F790F" w:rsidRDefault="00453E1C" w:rsidP="001960B2">
      <w:pPr>
        <w:rPr>
          <w:noProof/>
          <w:szCs w:val="18"/>
        </w:rPr>
      </w:pPr>
      <w:r w:rsidRPr="000F790F">
        <w:rPr>
          <w:i/>
          <w:noProof/>
          <w:szCs w:val="18"/>
        </w:rPr>
        <w:t>„Vývoj míry nezaměstnanosti je letos</w:t>
      </w:r>
      <w:r w:rsidR="001960B2" w:rsidRPr="000F790F">
        <w:rPr>
          <w:i/>
          <w:noProof/>
          <w:szCs w:val="18"/>
        </w:rPr>
        <w:t xml:space="preserve"> stále </w:t>
      </w:r>
      <w:r w:rsidRPr="000F790F">
        <w:rPr>
          <w:i/>
          <w:noProof/>
          <w:szCs w:val="18"/>
        </w:rPr>
        <w:t>nečekaně příznivý vzhledem k hloubce propadu ekonomiky</w:t>
      </w:r>
      <w:r w:rsidR="00142FD3" w:rsidRPr="000F790F">
        <w:rPr>
          <w:i/>
          <w:noProof/>
          <w:szCs w:val="18"/>
        </w:rPr>
        <w:t xml:space="preserve">. </w:t>
      </w:r>
      <w:r w:rsidRPr="000F790F">
        <w:rPr>
          <w:i/>
          <w:noProof/>
          <w:szCs w:val="18"/>
        </w:rPr>
        <w:t xml:space="preserve">Přiznivě se projevuje souběh podpůrných programů vlády a ochoty zaměstnanců obětovat mzdový vývoj ve prospěch zachování pracovních míst. </w:t>
      </w:r>
      <w:r w:rsidR="00142FD3" w:rsidRPr="000F790F">
        <w:rPr>
          <w:i/>
          <w:noProof/>
          <w:szCs w:val="18"/>
        </w:rPr>
        <w:t xml:space="preserve">I tak máme pravděpodobně před sebou </w:t>
      </w:r>
      <w:r w:rsidRPr="000F790F">
        <w:rPr>
          <w:i/>
          <w:noProof/>
          <w:szCs w:val="18"/>
        </w:rPr>
        <w:t>nárůst nezaměstna</w:t>
      </w:r>
      <w:r w:rsidR="00520C82">
        <w:rPr>
          <w:i/>
          <w:noProof/>
          <w:szCs w:val="18"/>
        </w:rPr>
        <w:t>n</w:t>
      </w:r>
      <w:r w:rsidRPr="000F790F">
        <w:rPr>
          <w:i/>
          <w:noProof/>
          <w:szCs w:val="18"/>
        </w:rPr>
        <w:t>osti v důsledku výrazn</w:t>
      </w:r>
      <w:r w:rsidR="001960B2" w:rsidRPr="000F790F">
        <w:rPr>
          <w:i/>
          <w:noProof/>
          <w:szCs w:val="18"/>
        </w:rPr>
        <w:t>ě slabšího růstového výhledu pro rok 2021.</w:t>
      </w:r>
      <w:r w:rsidR="00142FD3" w:rsidRPr="000F790F">
        <w:rPr>
          <w:i/>
          <w:noProof/>
          <w:szCs w:val="18"/>
        </w:rPr>
        <w:t xml:space="preserve"> Celkově mírný vývoj nezaměstnanosti zpětně podporuje sílu spotřebitelské poptávky v</w:t>
      </w:r>
      <w:r w:rsidR="00E77EE7">
        <w:rPr>
          <w:i/>
          <w:noProof/>
          <w:szCs w:val="18"/>
        </w:rPr>
        <w:t> </w:t>
      </w:r>
      <w:r w:rsidR="00142FD3" w:rsidRPr="000F790F">
        <w:rPr>
          <w:i/>
          <w:noProof/>
          <w:szCs w:val="18"/>
        </w:rPr>
        <w:t>ekonomice</w:t>
      </w:r>
      <w:r w:rsidR="00E77EE7">
        <w:rPr>
          <w:i/>
          <w:noProof/>
          <w:szCs w:val="18"/>
        </w:rPr>
        <w:t>,</w:t>
      </w:r>
      <w:r w:rsidR="001960B2" w:rsidRPr="000F790F">
        <w:rPr>
          <w:noProof/>
          <w:szCs w:val="18"/>
        </w:rPr>
        <w:t xml:space="preserve">“ doplnil Petr Sklenář, hlavní ekonom J&amp;T Banky. </w:t>
      </w:r>
    </w:p>
    <w:p w14:paraId="0E14863D" w14:textId="77777777" w:rsidR="0027402B" w:rsidRPr="000F790F" w:rsidRDefault="0027402B" w:rsidP="005C60BB">
      <w:pPr>
        <w:rPr>
          <w:noProof/>
          <w:szCs w:val="18"/>
        </w:rPr>
      </w:pPr>
    </w:p>
    <w:p w14:paraId="67F9E1FE" w14:textId="361C5103" w:rsidR="005C60BB" w:rsidRPr="000F790F" w:rsidRDefault="0027402B" w:rsidP="005C60BB">
      <w:pPr>
        <w:rPr>
          <w:noProof/>
          <w:szCs w:val="18"/>
        </w:rPr>
      </w:pPr>
      <w:r w:rsidRPr="005A7A4D">
        <w:rPr>
          <w:noProof/>
          <w:szCs w:val="18"/>
        </w:rPr>
        <w:t xml:space="preserve">Navzdory výše uvedenému však i nadále </w:t>
      </w:r>
      <w:r w:rsidR="004A7D28" w:rsidRPr="005A7A4D">
        <w:rPr>
          <w:noProof/>
          <w:szCs w:val="18"/>
        </w:rPr>
        <w:t>ne</w:t>
      </w:r>
      <w:r w:rsidR="00017461" w:rsidRPr="005A7A4D">
        <w:rPr>
          <w:noProof/>
          <w:szCs w:val="18"/>
        </w:rPr>
        <w:t>j</w:t>
      </w:r>
      <w:r w:rsidR="004A7D28" w:rsidRPr="005A7A4D">
        <w:rPr>
          <w:noProof/>
          <w:szCs w:val="18"/>
        </w:rPr>
        <w:t xml:space="preserve">spíš </w:t>
      </w:r>
      <w:r w:rsidRPr="005A7A4D">
        <w:rPr>
          <w:noProof/>
          <w:szCs w:val="18"/>
        </w:rPr>
        <w:t xml:space="preserve">zůstaneme zemí s nejnižší nezaměstnaností v EU, v níž </w:t>
      </w:r>
      <w:r w:rsidR="002624E9" w:rsidRPr="005A7A4D">
        <w:rPr>
          <w:noProof/>
          <w:szCs w:val="18"/>
        </w:rPr>
        <w:t xml:space="preserve">nelze specialisty </w:t>
      </w:r>
      <w:r w:rsidRPr="005A7A4D">
        <w:rPr>
          <w:noProof/>
          <w:szCs w:val="18"/>
        </w:rPr>
        <w:t xml:space="preserve">určitých </w:t>
      </w:r>
      <w:r w:rsidR="002624E9" w:rsidRPr="005A7A4D">
        <w:rPr>
          <w:noProof/>
          <w:szCs w:val="18"/>
        </w:rPr>
        <w:t>profesí</w:t>
      </w:r>
      <w:r w:rsidRPr="005A7A4D">
        <w:rPr>
          <w:noProof/>
          <w:szCs w:val="18"/>
        </w:rPr>
        <w:t xml:space="preserve"> na trhu</w:t>
      </w:r>
      <w:r w:rsidR="002624E9" w:rsidRPr="005A7A4D">
        <w:rPr>
          <w:noProof/>
          <w:szCs w:val="18"/>
        </w:rPr>
        <w:t xml:space="preserve"> </w:t>
      </w:r>
      <w:r w:rsidRPr="005A7A4D">
        <w:rPr>
          <w:noProof/>
          <w:szCs w:val="18"/>
        </w:rPr>
        <w:t>nalézt</w:t>
      </w:r>
      <w:r w:rsidR="002624E9" w:rsidRPr="005A7A4D">
        <w:rPr>
          <w:noProof/>
          <w:szCs w:val="18"/>
        </w:rPr>
        <w:t xml:space="preserve"> a kde některé obory (</w:t>
      </w:r>
      <w:r w:rsidR="002624E9" w:rsidRPr="005A7A4D">
        <w:rPr>
          <w:i/>
          <w:noProof/>
          <w:szCs w:val="18"/>
        </w:rPr>
        <w:t>stavebnictví, částečně automotive</w:t>
      </w:r>
      <w:r w:rsidR="002624E9" w:rsidRPr="005A7A4D">
        <w:rPr>
          <w:noProof/>
          <w:szCs w:val="18"/>
        </w:rPr>
        <w:t>) kriticky závisí na dovozu agenturních pracovníků. I přes přezaměstnanost ve veřejném sektoru, resp.</w:t>
      </w:r>
      <w:r w:rsidR="004A7D28" w:rsidRPr="006B03F0">
        <w:rPr>
          <w:noProof/>
          <w:szCs w:val="18"/>
        </w:rPr>
        <w:t xml:space="preserve"> ve</w:t>
      </w:r>
      <w:r w:rsidR="002624E9" w:rsidRPr="006B03F0">
        <w:rPr>
          <w:noProof/>
          <w:szCs w:val="18"/>
        </w:rPr>
        <w:t xml:space="preserve"> státní správě</w:t>
      </w:r>
      <w:r w:rsidR="00017461" w:rsidRPr="006B03F0">
        <w:rPr>
          <w:noProof/>
          <w:szCs w:val="18"/>
        </w:rPr>
        <w:t>,</w:t>
      </w:r>
      <w:r w:rsidR="002624E9" w:rsidRPr="006B03F0">
        <w:rPr>
          <w:noProof/>
          <w:szCs w:val="18"/>
        </w:rPr>
        <w:t xml:space="preserve"> nebude minimálně v příštím volebním roce realistické počítat</w:t>
      </w:r>
      <w:r w:rsidR="006B03F0">
        <w:rPr>
          <w:noProof/>
          <w:szCs w:val="18"/>
        </w:rPr>
        <w:t xml:space="preserve"> s tím, že by se to změnilo.</w:t>
      </w:r>
      <w:r w:rsidR="002624E9" w:rsidRPr="006B03F0">
        <w:rPr>
          <w:noProof/>
          <w:szCs w:val="18"/>
        </w:rPr>
        <w:t xml:space="preserve"> Zrovna tak </w:t>
      </w:r>
      <w:r w:rsidR="00520C82">
        <w:rPr>
          <w:noProof/>
          <w:szCs w:val="18"/>
        </w:rPr>
        <w:t xml:space="preserve">se </w:t>
      </w:r>
      <w:r w:rsidR="005A7A4D" w:rsidRPr="0067201E">
        <w:rPr>
          <w:noProof/>
          <w:szCs w:val="18"/>
        </w:rPr>
        <w:t>v nejbližší době</w:t>
      </w:r>
      <w:r w:rsidR="002624E9" w:rsidRPr="005A7A4D">
        <w:rPr>
          <w:noProof/>
          <w:szCs w:val="18"/>
        </w:rPr>
        <w:t xml:space="preserve"> v</w:t>
      </w:r>
      <w:r w:rsidR="0067201E">
        <w:rPr>
          <w:noProof/>
          <w:szCs w:val="18"/>
        </w:rPr>
        <w:t>ýrazněji nezmenší</w:t>
      </w:r>
      <w:r w:rsidR="002624E9" w:rsidRPr="005A7A4D">
        <w:rPr>
          <w:noProof/>
          <w:szCs w:val="18"/>
        </w:rPr>
        <w:t xml:space="preserve"> mezera mezi průměrnou mzdou ve státní správě a v průměru hůře placeném soukromém sektoru, i když jak vzhledem k recesi, tak vzhledem ke stále napjatějším veřejným financím by se neměla prohlubovat. </w:t>
      </w:r>
      <w:r w:rsidR="00066333" w:rsidRPr="005A7A4D">
        <w:rPr>
          <w:noProof/>
          <w:szCs w:val="18"/>
        </w:rPr>
        <w:t>S</w:t>
      </w:r>
      <w:r w:rsidR="002624E9" w:rsidRPr="005A7A4D">
        <w:rPr>
          <w:noProof/>
          <w:szCs w:val="18"/>
        </w:rPr>
        <w:t xml:space="preserve"> tím </w:t>
      </w:r>
      <w:r w:rsidR="00066333" w:rsidRPr="005A7A4D">
        <w:rPr>
          <w:noProof/>
          <w:szCs w:val="18"/>
        </w:rPr>
        <w:t xml:space="preserve">bude </w:t>
      </w:r>
      <w:r w:rsidR="002624E9" w:rsidRPr="005A7A4D">
        <w:rPr>
          <w:noProof/>
          <w:szCs w:val="18"/>
        </w:rPr>
        <w:t>korespondovat</w:t>
      </w:r>
      <w:r w:rsidR="00066333" w:rsidRPr="005A7A4D">
        <w:rPr>
          <w:noProof/>
          <w:szCs w:val="18"/>
        </w:rPr>
        <w:t xml:space="preserve"> očekávaný vývoj průměrných nominálních mezd – růst </w:t>
      </w:r>
      <w:r w:rsidR="00066333" w:rsidRPr="00E77EE7">
        <w:rPr>
          <w:iCs/>
          <w:noProof/>
          <w:szCs w:val="18"/>
        </w:rPr>
        <w:t xml:space="preserve">o </w:t>
      </w:r>
      <w:r w:rsidR="00F46BA9" w:rsidRPr="005A7A4D">
        <w:rPr>
          <w:noProof/>
          <w:szCs w:val="18"/>
        </w:rPr>
        <w:t>2,</w:t>
      </w:r>
      <w:r w:rsidR="007D666C" w:rsidRPr="005A7A4D">
        <w:rPr>
          <w:noProof/>
          <w:szCs w:val="18"/>
        </w:rPr>
        <w:t>5</w:t>
      </w:r>
      <w:r w:rsidR="00066333" w:rsidRPr="005A7A4D">
        <w:rPr>
          <w:noProof/>
          <w:szCs w:val="18"/>
        </w:rPr>
        <w:t xml:space="preserve"> % letos a </w:t>
      </w:r>
      <w:r w:rsidR="00F46BA9" w:rsidRPr="005A7A4D">
        <w:rPr>
          <w:noProof/>
          <w:szCs w:val="18"/>
        </w:rPr>
        <w:t>2,</w:t>
      </w:r>
      <w:r w:rsidR="007D666C" w:rsidRPr="005A7A4D">
        <w:rPr>
          <w:noProof/>
          <w:szCs w:val="18"/>
        </w:rPr>
        <w:t>7</w:t>
      </w:r>
      <w:r w:rsidR="00066333" w:rsidRPr="005A7A4D">
        <w:rPr>
          <w:noProof/>
          <w:szCs w:val="18"/>
        </w:rPr>
        <w:t xml:space="preserve"> % napřesrok</w:t>
      </w:r>
      <w:r w:rsidR="00626382" w:rsidRPr="005A7A4D">
        <w:rPr>
          <w:noProof/>
          <w:szCs w:val="18"/>
        </w:rPr>
        <w:t xml:space="preserve"> (a to spíše ve veřejném sektoru)</w:t>
      </w:r>
      <w:r w:rsidR="005A7A4D" w:rsidRPr="0067201E">
        <w:rPr>
          <w:noProof/>
          <w:szCs w:val="18"/>
        </w:rPr>
        <w:t>, což je</w:t>
      </w:r>
      <w:r w:rsidR="00520C82">
        <w:rPr>
          <w:noProof/>
          <w:szCs w:val="18"/>
        </w:rPr>
        <w:t xml:space="preserve"> </w:t>
      </w:r>
      <w:r w:rsidR="002624E9" w:rsidRPr="005A7A4D">
        <w:rPr>
          <w:noProof/>
          <w:szCs w:val="18"/>
        </w:rPr>
        <w:t>poměrně hluboko pod tempy</w:t>
      </w:r>
      <w:r w:rsidR="00066333" w:rsidRPr="005A7A4D">
        <w:rPr>
          <w:noProof/>
          <w:szCs w:val="18"/>
        </w:rPr>
        <w:t xml:space="preserve"> růstu </w:t>
      </w:r>
      <w:r w:rsidR="002624E9" w:rsidRPr="005A7A4D">
        <w:rPr>
          <w:noProof/>
          <w:szCs w:val="18"/>
        </w:rPr>
        <w:t xml:space="preserve">mezd </w:t>
      </w:r>
      <w:r w:rsidR="00066333" w:rsidRPr="005A7A4D">
        <w:rPr>
          <w:noProof/>
          <w:szCs w:val="18"/>
        </w:rPr>
        <w:t xml:space="preserve">před krizí, protože zaměstnanci budou preferovat udržení práce před zvýšením mzdy. </w:t>
      </w:r>
      <w:r w:rsidR="00EB2F2C" w:rsidRPr="005A7A4D">
        <w:rPr>
          <w:noProof/>
          <w:szCs w:val="18"/>
        </w:rPr>
        <w:t xml:space="preserve">Stále však platí, že </w:t>
      </w:r>
      <w:r w:rsidR="00066333" w:rsidRPr="005A7A4D">
        <w:rPr>
          <w:noProof/>
          <w:szCs w:val="18"/>
        </w:rPr>
        <w:t>nárůst nezaměstnanosti proběhne nejspíše na úkor</w:t>
      </w:r>
      <w:r w:rsidR="00EB2F2C" w:rsidRPr="005A7A4D">
        <w:rPr>
          <w:noProof/>
          <w:szCs w:val="18"/>
        </w:rPr>
        <w:t xml:space="preserve"> nejméně kvalifikovaných </w:t>
      </w:r>
      <w:r w:rsidR="00066333" w:rsidRPr="005A7A4D">
        <w:rPr>
          <w:noProof/>
          <w:szCs w:val="18"/>
        </w:rPr>
        <w:t>skupin zaměstnanců, což průměrnou mzdu ve výsledku mírně zvýší.</w:t>
      </w:r>
      <w:r w:rsidR="003305B2" w:rsidRPr="005A7A4D">
        <w:rPr>
          <w:noProof/>
          <w:szCs w:val="18"/>
        </w:rPr>
        <w:t xml:space="preserve"> Velkou nejistotou je, jak dopadne současná politická debata o</w:t>
      </w:r>
      <w:r w:rsidR="00D91982" w:rsidRPr="005A7A4D">
        <w:rPr>
          <w:noProof/>
          <w:szCs w:val="18"/>
        </w:rPr>
        <w:t xml:space="preserve"> </w:t>
      </w:r>
      <w:r w:rsidR="003305B2" w:rsidRPr="005A7A4D">
        <w:rPr>
          <w:noProof/>
          <w:szCs w:val="18"/>
        </w:rPr>
        <w:t>zrušení superhrubé mzdy a výsledné daňové sazbě.</w:t>
      </w:r>
    </w:p>
    <w:p w14:paraId="79D36AF8" w14:textId="77777777" w:rsidR="007D666C" w:rsidRPr="000F790F" w:rsidRDefault="007D666C" w:rsidP="006C6CFF">
      <w:pPr>
        <w:rPr>
          <w:b/>
          <w:color w:val="007E79"/>
          <w:sz w:val="20"/>
        </w:rPr>
      </w:pPr>
    </w:p>
    <w:p w14:paraId="17B9ABDD" w14:textId="370299CF" w:rsidR="006C6CFF" w:rsidRPr="000F790F" w:rsidRDefault="002D12BD" w:rsidP="006C6CFF">
      <w:pPr>
        <w:rPr>
          <w:b/>
          <w:sz w:val="20"/>
        </w:rPr>
      </w:pPr>
      <w:r w:rsidRPr="000F790F">
        <w:rPr>
          <w:b/>
          <w:color w:val="007E79"/>
          <w:sz w:val="20"/>
        </w:rPr>
        <w:t>Veřejné finance</w:t>
      </w:r>
      <w:r w:rsidR="005C60BB" w:rsidRPr="000F790F">
        <w:rPr>
          <w:b/>
          <w:color w:val="007E79"/>
          <w:sz w:val="20"/>
        </w:rPr>
        <w:t>: fiskální expanze</w:t>
      </w:r>
      <w:r w:rsidR="003668D4" w:rsidRPr="000F790F">
        <w:rPr>
          <w:b/>
          <w:color w:val="007E79"/>
          <w:sz w:val="20"/>
        </w:rPr>
        <w:t>, její účinnost a udržitelnost veřejných financí</w:t>
      </w:r>
    </w:p>
    <w:p w14:paraId="2F01EB21" w14:textId="0EAF8E41" w:rsidR="00327E59" w:rsidRPr="000F790F" w:rsidRDefault="00327E59" w:rsidP="00327E59">
      <w:pPr>
        <w:rPr>
          <w:szCs w:val="18"/>
        </w:rPr>
      </w:pPr>
      <w:r w:rsidRPr="000F790F">
        <w:rPr>
          <w:szCs w:val="18"/>
        </w:rPr>
        <w:t xml:space="preserve">Prognostický panel ČBA schodek veřejných financí pro letošek odhaduje na </w:t>
      </w:r>
      <w:r w:rsidR="00F46BA9" w:rsidRPr="000F790F">
        <w:rPr>
          <w:szCs w:val="18"/>
        </w:rPr>
        <w:t>7,5</w:t>
      </w:r>
      <w:r w:rsidRPr="000F790F">
        <w:rPr>
          <w:szCs w:val="18"/>
        </w:rPr>
        <w:t xml:space="preserve"> % HDP a na rok 2021 na stále vysokých </w:t>
      </w:r>
      <w:r w:rsidR="00F46BA9" w:rsidRPr="000F790F">
        <w:rPr>
          <w:szCs w:val="18"/>
        </w:rPr>
        <w:t>5</w:t>
      </w:r>
      <w:r w:rsidRPr="000F790F">
        <w:rPr>
          <w:szCs w:val="18"/>
        </w:rPr>
        <w:t>,</w:t>
      </w:r>
      <w:r w:rsidR="007D666C" w:rsidRPr="000F790F">
        <w:rPr>
          <w:szCs w:val="18"/>
        </w:rPr>
        <w:t>6</w:t>
      </w:r>
      <w:r w:rsidRPr="000F790F">
        <w:rPr>
          <w:szCs w:val="18"/>
        </w:rPr>
        <w:t xml:space="preserve"> % HDP. Ve výsledku by se tak veřejný dluh v roce 2020 ocitl na 39,</w:t>
      </w:r>
      <w:r w:rsidR="007D666C" w:rsidRPr="000F790F">
        <w:rPr>
          <w:szCs w:val="18"/>
        </w:rPr>
        <w:t>3</w:t>
      </w:r>
      <w:r w:rsidRPr="000F790F">
        <w:rPr>
          <w:szCs w:val="18"/>
        </w:rPr>
        <w:t xml:space="preserve"> % a v roce 2021 by se dostal až k 42,</w:t>
      </w:r>
      <w:r w:rsidR="007D666C" w:rsidRPr="000F790F">
        <w:rPr>
          <w:szCs w:val="18"/>
        </w:rPr>
        <w:t>2</w:t>
      </w:r>
      <w:r w:rsidRPr="000F790F">
        <w:rPr>
          <w:szCs w:val="18"/>
        </w:rPr>
        <w:t xml:space="preserve"> % HDP. </w:t>
      </w:r>
    </w:p>
    <w:p w14:paraId="7FF11120" w14:textId="7C3D653D" w:rsidR="007E4E82" w:rsidRPr="000F790F" w:rsidRDefault="007E4E82" w:rsidP="00327E59">
      <w:pPr>
        <w:rPr>
          <w:szCs w:val="18"/>
        </w:rPr>
      </w:pPr>
    </w:p>
    <w:p w14:paraId="5A61DAFB" w14:textId="44326B71" w:rsidR="007E4E82" w:rsidRPr="000F790F" w:rsidRDefault="007E4E82" w:rsidP="00327E59">
      <w:pPr>
        <w:rPr>
          <w:i/>
          <w:iCs/>
          <w:szCs w:val="18"/>
        </w:rPr>
      </w:pPr>
      <w:r w:rsidRPr="000F790F">
        <w:rPr>
          <w:szCs w:val="18"/>
        </w:rPr>
        <w:lastRenderedPageBreak/>
        <w:t>„</w:t>
      </w:r>
      <w:r w:rsidRPr="000F790F">
        <w:rPr>
          <w:i/>
          <w:iCs/>
          <w:szCs w:val="18"/>
        </w:rPr>
        <w:t xml:space="preserve">Navzdory druhé vlně pandemie, které znamená novou sadu vládních opatření na podporu ekonomiky, se nepředpokládá </w:t>
      </w:r>
      <w:r w:rsidR="006A5DB5" w:rsidRPr="000F790F">
        <w:rPr>
          <w:i/>
          <w:iCs/>
          <w:szCs w:val="18"/>
        </w:rPr>
        <w:t>zvýšení</w:t>
      </w:r>
      <w:r w:rsidR="0076384E" w:rsidRPr="000F790F">
        <w:rPr>
          <w:i/>
          <w:iCs/>
          <w:szCs w:val="18"/>
        </w:rPr>
        <w:t xml:space="preserve"> doposud očekávaného</w:t>
      </w:r>
      <w:r w:rsidR="006A5DB5" w:rsidRPr="000F790F">
        <w:rPr>
          <w:i/>
          <w:iCs/>
          <w:szCs w:val="18"/>
        </w:rPr>
        <w:t xml:space="preserve"> vládního </w:t>
      </w:r>
      <w:r w:rsidRPr="000F790F">
        <w:rPr>
          <w:i/>
          <w:iCs/>
          <w:szCs w:val="18"/>
        </w:rPr>
        <w:t>deficitu v letošním roce. Dosavadní hodnoty před příchodem druhé vlny pandemie směřovaly k nižšímu než schválenému sch</w:t>
      </w:r>
      <w:r w:rsidR="006A5DB5" w:rsidRPr="000F790F">
        <w:rPr>
          <w:i/>
          <w:iCs/>
          <w:szCs w:val="18"/>
        </w:rPr>
        <w:t xml:space="preserve">odku, proto je stále v současném rozpočtu dostatečný prostor pro podporu ekonomiky. Oproti předchozí prognóze se však zvýšil očekávaný deficit na příští rok, a to na 5,6 % HDP. Přitom některé zamýšlené změny v daňovém systému mohou deficit ještě dále </w:t>
      </w:r>
      <w:r w:rsidR="0076384E" w:rsidRPr="000F790F">
        <w:rPr>
          <w:i/>
          <w:iCs/>
          <w:szCs w:val="18"/>
        </w:rPr>
        <w:t>prohloubit</w:t>
      </w:r>
      <w:r w:rsidR="006A5DB5" w:rsidRPr="000F790F">
        <w:rPr>
          <w:i/>
          <w:iCs/>
          <w:szCs w:val="18"/>
        </w:rPr>
        <w:t xml:space="preserve"> a posunout ho blíže k hodnotě z letošního roku</w:t>
      </w:r>
      <w:r w:rsidR="00E77EE7">
        <w:rPr>
          <w:i/>
          <w:iCs/>
          <w:szCs w:val="18"/>
        </w:rPr>
        <w:t>,</w:t>
      </w:r>
      <w:r w:rsidR="006A5DB5" w:rsidRPr="000F790F">
        <w:rPr>
          <w:i/>
          <w:iCs/>
          <w:szCs w:val="18"/>
        </w:rPr>
        <w:t xml:space="preserve">“ </w:t>
      </w:r>
      <w:r w:rsidR="006A5DB5" w:rsidRPr="000F790F">
        <w:rPr>
          <w:szCs w:val="18"/>
        </w:rPr>
        <w:t>upozorňuje</w:t>
      </w:r>
      <w:r w:rsidRPr="000F790F">
        <w:rPr>
          <w:szCs w:val="18"/>
        </w:rPr>
        <w:t xml:space="preserve"> Jakub Seidler, hlavní ekonom ING Bank</w:t>
      </w:r>
      <w:r w:rsidR="00F54329" w:rsidRPr="000F790F">
        <w:rPr>
          <w:szCs w:val="18"/>
        </w:rPr>
        <w:t xml:space="preserve"> v ČR</w:t>
      </w:r>
      <w:r w:rsidRPr="000F790F">
        <w:rPr>
          <w:szCs w:val="18"/>
        </w:rPr>
        <w:t>.</w:t>
      </w:r>
    </w:p>
    <w:p w14:paraId="713D6659" w14:textId="77777777" w:rsidR="00327E59" w:rsidRPr="000F790F" w:rsidRDefault="00327E59" w:rsidP="002E732D">
      <w:pPr>
        <w:rPr>
          <w:szCs w:val="18"/>
        </w:rPr>
      </w:pPr>
    </w:p>
    <w:p w14:paraId="185BAD3B" w14:textId="2F0FA369" w:rsidR="003668D4" w:rsidRDefault="003668D4" w:rsidP="002E732D">
      <w:pPr>
        <w:rPr>
          <w:szCs w:val="18"/>
        </w:rPr>
      </w:pPr>
      <w:r w:rsidRPr="000F790F">
        <w:rPr>
          <w:szCs w:val="18"/>
        </w:rPr>
        <w:t xml:space="preserve">Česká republika má za sebou </w:t>
      </w:r>
      <w:r w:rsidR="00017461">
        <w:rPr>
          <w:szCs w:val="18"/>
        </w:rPr>
        <w:t>pět</w:t>
      </w:r>
      <w:r w:rsidRPr="000F790F">
        <w:rPr>
          <w:szCs w:val="18"/>
        </w:rPr>
        <w:t xml:space="preserve"> let poměrně robustního, i když co do tempa kolísajícího hospodářského růstu. Byť bylo hospodaření státu v tomto období vyrovnané, resp. mírně přebytkové</w:t>
      </w:r>
      <w:r w:rsidR="00402738" w:rsidRPr="000F790F">
        <w:rPr>
          <w:szCs w:val="18"/>
        </w:rPr>
        <w:t xml:space="preserve">, tohoto výsledku bylo dosahováno vesměs </w:t>
      </w:r>
      <w:r w:rsidR="00D91982">
        <w:rPr>
          <w:szCs w:val="18"/>
        </w:rPr>
        <w:t>díky vysokému</w:t>
      </w:r>
      <w:r w:rsidR="00402738" w:rsidRPr="000F790F">
        <w:rPr>
          <w:szCs w:val="18"/>
        </w:rPr>
        <w:t xml:space="preserve"> přebytku municipálního hospodaření</w:t>
      </w:r>
      <w:r w:rsidR="00D91982">
        <w:rPr>
          <w:szCs w:val="18"/>
        </w:rPr>
        <w:t>, nikoli samotného</w:t>
      </w:r>
      <w:r w:rsidR="00402738" w:rsidRPr="000F790F">
        <w:rPr>
          <w:szCs w:val="18"/>
        </w:rPr>
        <w:t xml:space="preserve"> státního rozpočtu. </w:t>
      </w:r>
      <w:r w:rsidR="00D91982">
        <w:rPr>
          <w:szCs w:val="18"/>
        </w:rPr>
        <w:t xml:space="preserve">Ten vykazoval </w:t>
      </w:r>
      <w:r w:rsidR="00757E86" w:rsidRPr="000F790F">
        <w:rPr>
          <w:szCs w:val="18"/>
        </w:rPr>
        <w:t>setrval</w:t>
      </w:r>
      <w:r w:rsidR="00D91982">
        <w:rPr>
          <w:szCs w:val="18"/>
        </w:rPr>
        <w:t xml:space="preserve">ý růst podílu </w:t>
      </w:r>
      <w:r w:rsidR="00402738" w:rsidRPr="000F790F">
        <w:rPr>
          <w:szCs w:val="18"/>
        </w:rPr>
        <w:t>mandatorních</w:t>
      </w:r>
      <w:r w:rsidR="00757E86" w:rsidRPr="000F790F">
        <w:rPr>
          <w:szCs w:val="18"/>
        </w:rPr>
        <w:t xml:space="preserve"> a </w:t>
      </w:r>
      <w:proofErr w:type="spellStart"/>
      <w:r w:rsidR="00757E86" w:rsidRPr="0067201E">
        <w:rPr>
          <w:iCs/>
          <w:szCs w:val="18"/>
        </w:rPr>
        <w:t>quasimandatorních</w:t>
      </w:r>
      <w:proofErr w:type="spellEnd"/>
      <w:r w:rsidR="00402738" w:rsidRPr="005A7A4D">
        <w:rPr>
          <w:iCs/>
          <w:szCs w:val="18"/>
        </w:rPr>
        <w:t xml:space="preserve"> </w:t>
      </w:r>
      <w:r w:rsidR="00402738" w:rsidRPr="000F790F">
        <w:rPr>
          <w:szCs w:val="18"/>
        </w:rPr>
        <w:t xml:space="preserve">výdajů </w:t>
      </w:r>
      <w:r w:rsidR="00757E86" w:rsidRPr="000F790F">
        <w:rPr>
          <w:szCs w:val="18"/>
        </w:rPr>
        <w:t>tempy vyššími než růst HDP</w:t>
      </w:r>
      <w:r w:rsidR="00D91982">
        <w:rPr>
          <w:szCs w:val="18"/>
        </w:rPr>
        <w:t>. J</w:t>
      </w:r>
      <w:r w:rsidR="00757E86" w:rsidRPr="000F790F">
        <w:rPr>
          <w:szCs w:val="18"/>
        </w:rPr>
        <w:t xml:space="preserve">ejich podíl na výdajích státu se </w:t>
      </w:r>
      <w:r w:rsidR="00327E59" w:rsidRPr="000F790F">
        <w:rPr>
          <w:szCs w:val="18"/>
        </w:rPr>
        <w:t xml:space="preserve">v současnosti </w:t>
      </w:r>
      <w:r w:rsidR="00757E86" w:rsidRPr="000F790F">
        <w:rPr>
          <w:szCs w:val="18"/>
        </w:rPr>
        <w:t xml:space="preserve">pohybuje na cca 80 %. Ačkoli tedy v porovnání s řadou států EU </w:t>
      </w:r>
      <w:r w:rsidR="00327E59" w:rsidRPr="000F790F">
        <w:rPr>
          <w:szCs w:val="18"/>
        </w:rPr>
        <w:t xml:space="preserve">zatím </w:t>
      </w:r>
      <w:r w:rsidR="00757E86" w:rsidRPr="000F790F">
        <w:rPr>
          <w:szCs w:val="18"/>
        </w:rPr>
        <w:t>patříme z hlediska dosavadního vývoje schodkovosti veřejných rozpočtů i veřejného dluhu mezi premianty, dlouh</w:t>
      </w:r>
      <w:r w:rsidR="00F52243" w:rsidRPr="000F790F">
        <w:rPr>
          <w:szCs w:val="18"/>
        </w:rPr>
        <w:t xml:space="preserve">é období růstu, které ukončila současná krize, nebylo pro vybudování odpovídajícího reakčního prostoru využito dostatečně. Navíc je vzhledem k předurčenosti 4/5 výdajů zákonnými tituly krátkodobý manévrovací prostor veřejných financí citelně omezený. </w:t>
      </w:r>
    </w:p>
    <w:p w14:paraId="037A3FC3" w14:textId="77777777" w:rsidR="00893FAA" w:rsidRPr="000F790F" w:rsidRDefault="00893FAA" w:rsidP="002E732D">
      <w:pPr>
        <w:rPr>
          <w:szCs w:val="18"/>
        </w:rPr>
      </w:pPr>
    </w:p>
    <w:p w14:paraId="75607907" w14:textId="00BCDBCD" w:rsidR="00F52243" w:rsidRDefault="00B25E96" w:rsidP="002E732D">
      <w:pPr>
        <w:rPr>
          <w:szCs w:val="18"/>
        </w:rPr>
      </w:pPr>
      <w:r w:rsidRPr="00893FAA">
        <w:rPr>
          <w:i/>
          <w:iCs/>
          <w:szCs w:val="18"/>
        </w:rPr>
        <w:t xml:space="preserve">„Jedním z důsledků vysokého a rostoucího podílu mandatorních výdajů je rostoucí závislost investiční aktivity, zejména ve veřejném sektoru, na </w:t>
      </w:r>
      <w:r w:rsidR="009C181E" w:rsidRPr="00893FAA">
        <w:rPr>
          <w:i/>
          <w:iCs/>
          <w:szCs w:val="18"/>
        </w:rPr>
        <w:t>„</w:t>
      </w:r>
      <w:r w:rsidRPr="00893FAA">
        <w:rPr>
          <w:i/>
          <w:iCs/>
          <w:szCs w:val="18"/>
        </w:rPr>
        <w:t>evropských fondech</w:t>
      </w:r>
      <w:r w:rsidR="009C181E" w:rsidRPr="00893FAA">
        <w:rPr>
          <w:i/>
          <w:iCs/>
          <w:szCs w:val="18"/>
        </w:rPr>
        <w:t>“. To platí i pro</w:t>
      </w:r>
      <w:r w:rsidRPr="00893FAA">
        <w:rPr>
          <w:i/>
          <w:iCs/>
          <w:szCs w:val="18"/>
        </w:rPr>
        <w:t xml:space="preserve"> dodatečn</w:t>
      </w:r>
      <w:r w:rsidR="009C181E" w:rsidRPr="00893FAA">
        <w:rPr>
          <w:i/>
          <w:iCs/>
          <w:szCs w:val="18"/>
        </w:rPr>
        <w:t>é</w:t>
      </w:r>
      <w:r w:rsidRPr="00893FAA">
        <w:rPr>
          <w:i/>
          <w:iCs/>
          <w:szCs w:val="18"/>
        </w:rPr>
        <w:t xml:space="preserve"> zdroj</w:t>
      </w:r>
      <w:r w:rsidR="009C181E" w:rsidRPr="00893FAA">
        <w:rPr>
          <w:i/>
          <w:iCs/>
          <w:szCs w:val="18"/>
        </w:rPr>
        <w:t>e</w:t>
      </w:r>
      <w:r w:rsidRPr="00893FAA">
        <w:rPr>
          <w:i/>
          <w:iCs/>
          <w:szCs w:val="18"/>
        </w:rPr>
        <w:t xml:space="preserve">, jež by měly do české ekonomiky směřovat v rámci Národního plánu obnovy. Nyní půjde o to, aby tohoto </w:t>
      </w:r>
      <w:r w:rsidR="009C181E" w:rsidRPr="00893FAA">
        <w:rPr>
          <w:i/>
          <w:iCs/>
          <w:szCs w:val="18"/>
        </w:rPr>
        <w:t xml:space="preserve">mimořádného </w:t>
      </w:r>
      <w:r w:rsidRPr="00893FAA">
        <w:rPr>
          <w:i/>
          <w:iCs/>
          <w:szCs w:val="18"/>
        </w:rPr>
        <w:t>finančního přílivu v rozsahu kolem 180 miliard korun</w:t>
      </w:r>
      <w:r w:rsidR="009C181E" w:rsidRPr="00893FAA">
        <w:rPr>
          <w:i/>
          <w:iCs/>
          <w:szCs w:val="18"/>
        </w:rPr>
        <w:t>, s nímž ještě na počátku roku nikdo nepočítal,</w:t>
      </w:r>
      <w:r w:rsidRPr="00893FAA">
        <w:rPr>
          <w:i/>
          <w:iCs/>
          <w:szCs w:val="18"/>
        </w:rPr>
        <w:t xml:space="preserve"> bylo využito na projekty, které zvednou produktivitu české ekonomiky a příznivě ovlivní její strukturu do budoucna</w:t>
      </w:r>
      <w:r w:rsidR="00E77EE7">
        <w:rPr>
          <w:i/>
          <w:iCs/>
          <w:szCs w:val="18"/>
        </w:rPr>
        <w:t>,</w:t>
      </w:r>
      <w:r w:rsidRPr="00893FAA">
        <w:rPr>
          <w:i/>
          <w:iCs/>
          <w:szCs w:val="18"/>
        </w:rPr>
        <w:t>“</w:t>
      </w:r>
      <w:r w:rsidRPr="000F790F">
        <w:rPr>
          <w:szCs w:val="18"/>
        </w:rPr>
        <w:t xml:space="preserve"> připomenul ekonomický analytik ČBA Miroslav Zámečník.</w:t>
      </w:r>
    </w:p>
    <w:p w14:paraId="31020F45" w14:textId="77777777" w:rsidR="00893FAA" w:rsidRPr="000F790F" w:rsidRDefault="00893FAA" w:rsidP="002E732D">
      <w:pPr>
        <w:rPr>
          <w:szCs w:val="18"/>
        </w:rPr>
      </w:pPr>
    </w:p>
    <w:p w14:paraId="143B45D1" w14:textId="1DDDA7F8" w:rsidR="00833844" w:rsidRPr="000F790F" w:rsidRDefault="00D91982" w:rsidP="002E732D">
      <w:pPr>
        <w:rPr>
          <w:szCs w:val="18"/>
        </w:rPr>
      </w:pPr>
      <w:r>
        <w:rPr>
          <w:szCs w:val="18"/>
        </w:rPr>
        <w:t xml:space="preserve">Po letošní </w:t>
      </w:r>
      <w:r w:rsidR="00F52243" w:rsidRPr="000F790F">
        <w:rPr>
          <w:szCs w:val="18"/>
        </w:rPr>
        <w:t>fiskální expanz</w:t>
      </w:r>
      <w:r>
        <w:rPr>
          <w:szCs w:val="18"/>
        </w:rPr>
        <w:t>i</w:t>
      </w:r>
      <w:r w:rsidR="00F52243" w:rsidRPr="000F790F">
        <w:rPr>
          <w:szCs w:val="18"/>
        </w:rPr>
        <w:t xml:space="preserve"> </w:t>
      </w:r>
      <w:r>
        <w:rPr>
          <w:szCs w:val="18"/>
        </w:rPr>
        <w:t>se schodkem</w:t>
      </w:r>
      <w:r w:rsidR="00F52243" w:rsidRPr="000F790F">
        <w:rPr>
          <w:szCs w:val="18"/>
        </w:rPr>
        <w:t xml:space="preserve"> ve výši 500 mld. Kč</w:t>
      </w:r>
      <w:r>
        <w:rPr>
          <w:szCs w:val="18"/>
        </w:rPr>
        <w:t xml:space="preserve"> následuje další vysoce schodkový rozpočet na příští rok, jehož 320 miliard nezahrnuje dopady obsažené v daňovém balíčku</w:t>
      </w:r>
      <w:r w:rsidR="00C253FE" w:rsidRPr="000F790F">
        <w:rPr>
          <w:szCs w:val="18"/>
        </w:rPr>
        <w:t xml:space="preserve">. </w:t>
      </w:r>
      <w:r w:rsidR="008D576F" w:rsidRPr="000F790F">
        <w:rPr>
          <w:szCs w:val="18"/>
        </w:rPr>
        <w:t>D</w:t>
      </w:r>
      <w:r w:rsidR="00833844" w:rsidRPr="000F790F">
        <w:rPr>
          <w:szCs w:val="18"/>
        </w:rPr>
        <w:t>osud zveřejněné záměry vlády nedávají žádnou odpověď na otázku, kdy započne veřejné finance konsolidovat, jakým způsobem a do jakých etap bude rozdělena</w:t>
      </w:r>
      <w:r>
        <w:rPr>
          <w:szCs w:val="18"/>
        </w:rPr>
        <w:t xml:space="preserve"> tak, abychom se vrátili na udržitelnou dráhu</w:t>
      </w:r>
      <w:r w:rsidR="00833844" w:rsidRPr="000F790F">
        <w:rPr>
          <w:szCs w:val="18"/>
        </w:rPr>
        <w:t>.</w:t>
      </w:r>
      <w:r w:rsidR="00C253FE" w:rsidRPr="000F790F">
        <w:rPr>
          <w:szCs w:val="18"/>
        </w:rPr>
        <w:t xml:space="preserve"> </w:t>
      </w:r>
    </w:p>
    <w:p w14:paraId="01028A2B" w14:textId="77777777" w:rsidR="00142FD3" w:rsidRPr="000F790F" w:rsidRDefault="00142FD3" w:rsidP="002E732D">
      <w:pPr>
        <w:rPr>
          <w:szCs w:val="18"/>
        </w:rPr>
      </w:pPr>
    </w:p>
    <w:p w14:paraId="6763B2C6" w14:textId="227D8511" w:rsidR="00142FD3" w:rsidRPr="000F790F" w:rsidRDefault="00142FD3">
      <w:pPr>
        <w:rPr>
          <w:noProof/>
          <w:szCs w:val="18"/>
        </w:rPr>
      </w:pPr>
      <w:r w:rsidRPr="000F790F">
        <w:rPr>
          <w:i/>
          <w:noProof/>
          <w:szCs w:val="18"/>
        </w:rPr>
        <w:t xml:space="preserve">„Rozpočtový schodek v roce 2021 může být hlubší než </w:t>
      </w:r>
      <w:r w:rsidR="00A73218" w:rsidRPr="000F790F">
        <w:rPr>
          <w:i/>
          <w:noProof/>
          <w:szCs w:val="18"/>
        </w:rPr>
        <w:t xml:space="preserve">vládou </w:t>
      </w:r>
      <w:r w:rsidRPr="000F790F">
        <w:rPr>
          <w:i/>
          <w:noProof/>
          <w:szCs w:val="18"/>
        </w:rPr>
        <w:t>plá</w:t>
      </w:r>
      <w:r w:rsidR="00A73218" w:rsidRPr="000F790F">
        <w:rPr>
          <w:i/>
          <w:noProof/>
          <w:szCs w:val="18"/>
        </w:rPr>
        <w:t>no</w:t>
      </w:r>
      <w:r w:rsidRPr="000F790F">
        <w:rPr>
          <w:i/>
          <w:noProof/>
          <w:szCs w:val="18"/>
        </w:rPr>
        <w:t xml:space="preserve">vaných 320 mld. korun, protože </w:t>
      </w:r>
      <w:r w:rsidR="00A73218" w:rsidRPr="000F790F">
        <w:rPr>
          <w:i/>
          <w:noProof/>
          <w:szCs w:val="18"/>
        </w:rPr>
        <w:t xml:space="preserve">návrh </w:t>
      </w:r>
      <w:r w:rsidRPr="000F790F">
        <w:rPr>
          <w:i/>
          <w:noProof/>
          <w:szCs w:val="18"/>
        </w:rPr>
        <w:t xml:space="preserve">nejen že nezapočitává daňové škrty, ale je i postaven na předpokladu téměř </w:t>
      </w:r>
      <w:r w:rsidR="00017461">
        <w:rPr>
          <w:i/>
          <w:noProof/>
          <w:szCs w:val="18"/>
        </w:rPr>
        <w:t>4%</w:t>
      </w:r>
      <w:r w:rsidR="00017461" w:rsidRPr="000F790F">
        <w:rPr>
          <w:i/>
          <w:noProof/>
          <w:szCs w:val="18"/>
        </w:rPr>
        <w:t xml:space="preserve"> </w:t>
      </w:r>
      <w:r w:rsidRPr="000F790F">
        <w:rPr>
          <w:i/>
          <w:noProof/>
          <w:szCs w:val="18"/>
        </w:rPr>
        <w:t xml:space="preserve">růstu ekonomiky v roce 2021. Ovšem aktuální druhá vlna nákazy Covid-19 </w:t>
      </w:r>
      <w:r w:rsidR="00A73218" w:rsidRPr="000F790F">
        <w:rPr>
          <w:i/>
          <w:noProof/>
          <w:szCs w:val="18"/>
        </w:rPr>
        <w:t>výrazně snižuje růstový výhled právě pro příští rok, což přirozeně zhorší i cyklický vývoj rozpočtu,“</w:t>
      </w:r>
      <w:r w:rsidR="00A73218" w:rsidRPr="000F790F">
        <w:rPr>
          <w:noProof/>
          <w:szCs w:val="18"/>
        </w:rPr>
        <w:t xml:space="preserve"> dodal </w:t>
      </w:r>
      <w:r w:rsidRPr="000F790F">
        <w:rPr>
          <w:noProof/>
          <w:szCs w:val="18"/>
        </w:rPr>
        <w:t xml:space="preserve"> Petr Sklenář, hlavní ekonom J&amp;T Banky. </w:t>
      </w:r>
    </w:p>
    <w:p w14:paraId="597B39C2" w14:textId="77777777" w:rsidR="00142FD3" w:rsidRPr="000F790F" w:rsidRDefault="00142FD3" w:rsidP="002E732D">
      <w:pPr>
        <w:rPr>
          <w:sz w:val="20"/>
        </w:rPr>
      </w:pPr>
    </w:p>
    <w:p w14:paraId="55C3D391" w14:textId="060C3121" w:rsidR="006C6CFF" w:rsidRPr="000F790F" w:rsidRDefault="002D12BD" w:rsidP="006C6CFF">
      <w:pPr>
        <w:rPr>
          <w:b/>
          <w:color w:val="007E79"/>
          <w:sz w:val="20"/>
        </w:rPr>
      </w:pPr>
      <w:r w:rsidRPr="000F790F">
        <w:rPr>
          <w:b/>
          <w:color w:val="007E79"/>
          <w:sz w:val="20"/>
        </w:rPr>
        <w:t>Měnová politika, inflace a měnový kurz</w:t>
      </w:r>
      <w:r w:rsidR="00125474" w:rsidRPr="000F790F">
        <w:rPr>
          <w:b/>
          <w:color w:val="007E79"/>
          <w:sz w:val="20"/>
        </w:rPr>
        <w:t xml:space="preserve"> </w:t>
      </w:r>
    </w:p>
    <w:p w14:paraId="59792C83" w14:textId="55D8CF16" w:rsidR="0035571B" w:rsidRPr="00476BD0" w:rsidRDefault="002E732D" w:rsidP="002E732D">
      <w:pPr>
        <w:rPr>
          <w:szCs w:val="18"/>
        </w:rPr>
      </w:pPr>
      <w:r w:rsidRPr="000F790F">
        <w:rPr>
          <w:szCs w:val="18"/>
        </w:rPr>
        <w:t>Reakc</w:t>
      </w:r>
      <w:r w:rsidR="006952F0" w:rsidRPr="000F790F">
        <w:rPr>
          <w:szCs w:val="18"/>
        </w:rPr>
        <w:t>i</w:t>
      </w:r>
      <w:r w:rsidRPr="000F790F">
        <w:rPr>
          <w:szCs w:val="18"/>
        </w:rPr>
        <w:t xml:space="preserve"> měnové politiky na hospodářské zpomalení vyvolané </w:t>
      </w:r>
      <w:r w:rsidR="00006087" w:rsidRPr="000F790F">
        <w:rPr>
          <w:szCs w:val="18"/>
        </w:rPr>
        <w:t xml:space="preserve">hospodářskými dopady </w:t>
      </w:r>
      <w:r w:rsidR="006952F0" w:rsidRPr="000F790F">
        <w:rPr>
          <w:szCs w:val="18"/>
        </w:rPr>
        <w:t xml:space="preserve">epidemiologických </w:t>
      </w:r>
      <w:r w:rsidR="00006087" w:rsidRPr="000F790F">
        <w:rPr>
          <w:szCs w:val="18"/>
        </w:rPr>
        <w:t xml:space="preserve">restrikcí </w:t>
      </w:r>
      <w:r w:rsidR="00BD7B5A" w:rsidRPr="000F790F">
        <w:rPr>
          <w:szCs w:val="18"/>
        </w:rPr>
        <w:t>považují bankovní analytici</w:t>
      </w:r>
      <w:r w:rsidR="006952F0" w:rsidRPr="000F790F">
        <w:rPr>
          <w:szCs w:val="18"/>
        </w:rPr>
        <w:t xml:space="preserve"> z</w:t>
      </w:r>
      <w:r w:rsidR="00BD7B5A" w:rsidRPr="000F790F">
        <w:rPr>
          <w:szCs w:val="18"/>
        </w:rPr>
        <w:t xml:space="preserve">a dobře načasovanou a </w:t>
      </w:r>
      <w:r w:rsidR="00D520B2" w:rsidRPr="000F790F">
        <w:rPr>
          <w:szCs w:val="18"/>
        </w:rPr>
        <w:t xml:space="preserve">za </w:t>
      </w:r>
      <w:r w:rsidR="00BD7B5A" w:rsidRPr="000F790F">
        <w:rPr>
          <w:szCs w:val="18"/>
        </w:rPr>
        <w:t>adekvátní</w:t>
      </w:r>
      <w:r w:rsidR="00D520B2" w:rsidRPr="000F790F">
        <w:rPr>
          <w:szCs w:val="18"/>
        </w:rPr>
        <w:t xml:space="preserve"> považují i její udržování v současném </w:t>
      </w:r>
      <w:r w:rsidR="00D91982">
        <w:rPr>
          <w:szCs w:val="18"/>
        </w:rPr>
        <w:t>uvolněném</w:t>
      </w:r>
      <w:r w:rsidR="00D520B2" w:rsidRPr="000F790F">
        <w:rPr>
          <w:szCs w:val="18"/>
        </w:rPr>
        <w:t xml:space="preserve"> módu, navzdory inflaci, která se </w:t>
      </w:r>
      <w:r w:rsidR="007E0BF1" w:rsidRPr="000F790F">
        <w:rPr>
          <w:szCs w:val="18"/>
        </w:rPr>
        <w:t xml:space="preserve">od dubna </w:t>
      </w:r>
      <w:r w:rsidR="00D91982">
        <w:rPr>
          <w:szCs w:val="18"/>
        </w:rPr>
        <w:t>p</w:t>
      </w:r>
      <w:r w:rsidR="007E0BF1" w:rsidRPr="000F790F">
        <w:rPr>
          <w:szCs w:val="18"/>
        </w:rPr>
        <w:t>ohybuje nejenom</w:t>
      </w:r>
      <w:r w:rsidR="00D520B2" w:rsidRPr="000F790F">
        <w:rPr>
          <w:szCs w:val="18"/>
        </w:rPr>
        <w:t xml:space="preserve"> </w:t>
      </w:r>
      <w:r w:rsidR="007E0BF1" w:rsidRPr="000F790F">
        <w:rPr>
          <w:szCs w:val="18"/>
        </w:rPr>
        <w:t>nad inflačním cílem, ale i mírně nad tolerančním pásmem</w:t>
      </w:r>
      <w:r w:rsidR="00017461">
        <w:rPr>
          <w:szCs w:val="18"/>
        </w:rPr>
        <w:t>,</w:t>
      </w:r>
      <w:r w:rsidR="007E0BF1" w:rsidRPr="000F790F">
        <w:rPr>
          <w:szCs w:val="18"/>
        </w:rPr>
        <w:t xml:space="preserve"> a v září dosáhla meziročně 3,2 %. </w:t>
      </w:r>
      <w:r w:rsidR="00BD7B5A" w:rsidRPr="000F790F">
        <w:rPr>
          <w:szCs w:val="18"/>
        </w:rPr>
        <w:t xml:space="preserve">Inflační očekávání panelu pro konec letošního roku míří ke </w:t>
      </w:r>
      <w:r w:rsidR="00F46BA9" w:rsidRPr="000F790F">
        <w:rPr>
          <w:szCs w:val="18"/>
        </w:rPr>
        <w:t>2,8</w:t>
      </w:r>
      <w:r w:rsidR="00BD7B5A" w:rsidRPr="000F790F">
        <w:rPr>
          <w:szCs w:val="18"/>
        </w:rPr>
        <w:t xml:space="preserve"> % (s průměrnou inflací na úrovni 3</w:t>
      </w:r>
      <w:r w:rsidR="00F46BA9" w:rsidRPr="000F790F">
        <w:rPr>
          <w:szCs w:val="18"/>
        </w:rPr>
        <w:t>,2</w:t>
      </w:r>
      <w:r w:rsidR="00BD7B5A" w:rsidRPr="000F790F">
        <w:rPr>
          <w:szCs w:val="18"/>
        </w:rPr>
        <w:t xml:space="preserve"> %) a pro rok příští na průměrných </w:t>
      </w:r>
      <w:r w:rsidR="00F46BA9" w:rsidRPr="000F790F">
        <w:rPr>
          <w:szCs w:val="18"/>
        </w:rPr>
        <w:t>2,</w:t>
      </w:r>
      <w:r w:rsidR="007D666C" w:rsidRPr="000F790F">
        <w:rPr>
          <w:szCs w:val="18"/>
        </w:rPr>
        <w:t>2</w:t>
      </w:r>
      <w:r w:rsidR="00BD7B5A" w:rsidRPr="000F790F">
        <w:rPr>
          <w:szCs w:val="18"/>
        </w:rPr>
        <w:t xml:space="preserve"> %, </w:t>
      </w:r>
      <w:r w:rsidR="007E0BF1" w:rsidRPr="000F790F">
        <w:rPr>
          <w:szCs w:val="18"/>
        </w:rPr>
        <w:t xml:space="preserve">tedy </w:t>
      </w:r>
      <w:r w:rsidR="00D91982">
        <w:rPr>
          <w:szCs w:val="18"/>
        </w:rPr>
        <w:t>na dohled od</w:t>
      </w:r>
      <w:r w:rsidR="007E0BF1" w:rsidRPr="000F790F">
        <w:rPr>
          <w:szCs w:val="18"/>
        </w:rPr>
        <w:t xml:space="preserve"> </w:t>
      </w:r>
      <w:r w:rsidR="00BD7B5A" w:rsidRPr="000F790F">
        <w:rPr>
          <w:szCs w:val="18"/>
        </w:rPr>
        <w:t xml:space="preserve">inflačního cíle. </w:t>
      </w:r>
      <w:r w:rsidR="007E0BF1" w:rsidRPr="000F790F">
        <w:rPr>
          <w:szCs w:val="18"/>
        </w:rPr>
        <w:t>D</w:t>
      </w:r>
      <w:r w:rsidR="00BD7B5A" w:rsidRPr="000F790F">
        <w:rPr>
          <w:szCs w:val="18"/>
        </w:rPr>
        <w:t>o konce letošního roku</w:t>
      </w:r>
      <w:r w:rsidR="007E0BF1" w:rsidRPr="000F790F">
        <w:rPr>
          <w:szCs w:val="18"/>
        </w:rPr>
        <w:t xml:space="preserve"> hlavní ekonomové bank</w:t>
      </w:r>
      <w:r w:rsidR="00BD7B5A" w:rsidRPr="000F790F">
        <w:rPr>
          <w:szCs w:val="18"/>
        </w:rPr>
        <w:t xml:space="preserve"> další snížení 2týdenní reposazby neočekáv</w:t>
      </w:r>
      <w:r w:rsidR="007E0BF1" w:rsidRPr="000F790F">
        <w:rPr>
          <w:szCs w:val="18"/>
        </w:rPr>
        <w:t>ají</w:t>
      </w:r>
      <w:r w:rsidR="00BD7B5A" w:rsidRPr="000F790F">
        <w:rPr>
          <w:szCs w:val="18"/>
        </w:rPr>
        <w:t xml:space="preserve">, </w:t>
      </w:r>
      <w:r w:rsidR="00EB36AD" w:rsidRPr="000F790F">
        <w:rPr>
          <w:szCs w:val="18"/>
        </w:rPr>
        <w:t>na příští rok vzhledem k</w:t>
      </w:r>
      <w:r w:rsidR="00F46BA9" w:rsidRPr="000F790F">
        <w:rPr>
          <w:szCs w:val="18"/>
        </w:rPr>
        <w:t> pouze pozvolnému a křehkému</w:t>
      </w:r>
      <w:r w:rsidR="00EB36AD" w:rsidRPr="000F790F">
        <w:rPr>
          <w:szCs w:val="18"/>
        </w:rPr>
        <w:t xml:space="preserve"> oživení </w:t>
      </w:r>
      <w:r w:rsidR="00D91982">
        <w:rPr>
          <w:szCs w:val="18"/>
        </w:rPr>
        <w:t>počítají s</w:t>
      </w:r>
      <w:r w:rsidR="00F46BA9" w:rsidRPr="000F790F">
        <w:rPr>
          <w:szCs w:val="18"/>
        </w:rPr>
        <w:t xml:space="preserve"> její</w:t>
      </w:r>
      <w:r w:rsidR="00D91982">
        <w:rPr>
          <w:szCs w:val="18"/>
        </w:rPr>
        <w:t>m</w:t>
      </w:r>
      <w:r w:rsidR="00F46BA9" w:rsidRPr="000F790F">
        <w:rPr>
          <w:szCs w:val="18"/>
        </w:rPr>
        <w:t xml:space="preserve"> setrvání</w:t>
      </w:r>
      <w:r w:rsidR="00D91982">
        <w:rPr>
          <w:szCs w:val="18"/>
        </w:rPr>
        <w:t>m</w:t>
      </w:r>
      <w:r w:rsidR="00F46BA9" w:rsidRPr="000F790F">
        <w:rPr>
          <w:szCs w:val="18"/>
        </w:rPr>
        <w:t xml:space="preserve"> na 0,25 %</w:t>
      </w:r>
      <w:r w:rsidR="00EB36AD" w:rsidRPr="000F790F">
        <w:rPr>
          <w:szCs w:val="18"/>
        </w:rPr>
        <w:t xml:space="preserve">. </w:t>
      </w:r>
      <w:r w:rsidR="007E0BF1" w:rsidRPr="000F790F">
        <w:rPr>
          <w:szCs w:val="18"/>
        </w:rPr>
        <w:t>Měnový kurz v říjnu oslabil na úrovně pod 27 Kč za EUR</w:t>
      </w:r>
      <w:r w:rsidR="007E0BF1" w:rsidRPr="00476BD0">
        <w:rPr>
          <w:szCs w:val="18"/>
        </w:rPr>
        <w:t xml:space="preserve"> a svezl se tak na negativním sentimentu finančních trhů vůči</w:t>
      </w:r>
      <w:r w:rsidR="002F6016">
        <w:rPr>
          <w:szCs w:val="18"/>
        </w:rPr>
        <w:t xml:space="preserve"> </w:t>
      </w:r>
      <w:proofErr w:type="gramStart"/>
      <w:r w:rsidR="005A7A4D" w:rsidRPr="00476BD0">
        <w:rPr>
          <w:szCs w:val="18"/>
        </w:rPr>
        <w:t>středo</w:t>
      </w:r>
      <w:r w:rsidR="005A7A4D">
        <w:rPr>
          <w:szCs w:val="18"/>
        </w:rPr>
        <w:t>- a</w:t>
      </w:r>
      <w:proofErr w:type="gramEnd"/>
      <w:r w:rsidR="007E0BF1" w:rsidRPr="00476BD0">
        <w:rPr>
          <w:szCs w:val="18"/>
        </w:rPr>
        <w:t xml:space="preserve"> východoevropským měnám, kterému nepřidává ani současné umístění Česka na špici epidemií nejhůře zasažených zemí. Letošní průměrná hodnota kurzu se tak ustálí </w:t>
      </w:r>
      <w:r w:rsidR="00EB36AD" w:rsidRPr="00476BD0">
        <w:rPr>
          <w:szCs w:val="18"/>
        </w:rPr>
        <w:t>poblíž 26,</w:t>
      </w:r>
      <w:r w:rsidR="00F46BA9" w:rsidRPr="00476BD0">
        <w:rPr>
          <w:szCs w:val="18"/>
        </w:rPr>
        <w:t>56</w:t>
      </w:r>
      <w:r w:rsidR="00EB36AD" w:rsidRPr="00476BD0">
        <w:rPr>
          <w:szCs w:val="18"/>
        </w:rPr>
        <w:t xml:space="preserve"> Kč/EUR s tendencí k</w:t>
      </w:r>
      <w:r w:rsidR="00F46BA9" w:rsidRPr="00476BD0">
        <w:rPr>
          <w:szCs w:val="18"/>
        </w:rPr>
        <w:t> relativní stabilitě na úrovních implikující</w:t>
      </w:r>
      <w:r w:rsidR="00EB36AD" w:rsidRPr="00476BD0">
        <w:rPr>
          <w:szCs w:val="18"/>
        </w:rPr>
        <w:t xml:space="preserve"> průměr příštího roku kolem 2</w:t>
      </w:r>
      <w:r w:rsidR="00F46BA9" w:rsidRPr="00476BD0">
        <w:rPr>
          <w:szCs w:val="18"/>
        </w:rPr>
        <w:t>6,</w:t>
      </w:r>
      <w:r w:rsidR="007D666C" w:rsidRPr="00476BD0">
        <w:rPr>
          <w:szCs w:val="18"/>
        </w:rPr>
        <w:t>28</w:t>
      </w:r>
      <w:r w:rsidR="00EB36AD" w:rsidRPr="00476BD0">
        <w:rPr>
          <w:szCs w:val="18"/>
        </w:rPr>
        <w:t xml:space="preserve"> Kč/EUR.</w:t>
      </w:r>
    </w:p>
    <w:p w14:paraId="50CE9403" w14:textId="77777777" w:rsidR="0035571B" w:rsidRPr="00476BD0" w:rsidRDefault="0035571B" w:rsidP="000E3A69">
      <w:pPr>
        <w:rPr>
          <w:sz w:val="20"/>
        </w:rPr>
      </w:pPr>
    </w:p>
    <w:p w14:paraId="6A2F513C" w14:textId="77777777" w:rsidR="002D12BD" w:rsidRPr="00476BD0" w:rsidRDefault="002D12BD" w:rsidP="006478ED">
      <w:pPr>
        <w:rPr>
          <w:b/>
          <w:color w:val="007E79"/>
          <w:sz w:val="20"/>
        </w:rPr>
      </w:pPr>
      <w:r w:rsidRPr="00476BD0">
        <w:rPr>
          <w:b/>
          <w:color w:val="007E79"/>
          <w:sz w:val="20"/>
        </w:rPr>
        <w:t>Očekávaný vývoj vkladů a úvěrové emise</w:t>
      </w:r>
    </w:p>
    <w:p w14:paraId="1CAFC88E" w14:textId="5BBE3462" w:rsidR="00017461" w:rsidRDefault="002D12BD" w:rsidP="002D12BD">
      <w:pPr>
        <w:rPr>
          <w:i/>
          <w:iCs/>
          <w:szCs w:val="18"/>
        </w:rPr>
      </w:pPr>
      <w:r w:rsidRPr="00476BD0">
        <w:rPr>
          <w:szCs w:val="18"/>
        </w:rPr>
        <w:t>S</w:t>
      </w:r>
      <w:r w:rsidR="00EB36AD" w:rsidRPr="00476BD0">
        <w:rPr>
          <w:szCs w:val="18"/>
        </w:rPr>
        <w:t> ohledem na výše uvedené bude úvěrová emise v letošním i příštím roce pokračovat poměrně solidními čísly: očekávaná meziroční tempa růstu jsou 4,</w:t>
      </w:r>
      <w:r w:rsidR="007D666C" w:rsidRPr="00476BD0">
        <w:rPr>
          <w:szCs w:val="18"/>
        </w:rPr>
        <w:t>6</w:t>
      </w:r>
      <w:r w:rsidR="00EB36AD" w:rsidRPr="00476BD0">
        <w:rPr>
          <w:szCs w:val="18"/>
        </w:rPr>
        <w:t xml:space="preserve"> % (resp. </w:t>
      </w:r>
      <w:r w:rsidR="007D666C" w:rsidRPr="00476BD0">
        <w:rPr>
          <w:szCs w:val="18"/>
        </w:rPr>
        <w:t>3,6</w:t>
      </w:r>
      <w:r w:rsidR="00EB36AD" w:rsidRPr="00476BD0">
        <w:rPr>
          <w:szCs w:val="18"/>
        </w:rPr>
        <w:t xml:space="preserve"> % napřesrok) u klientských úvěrů celkem, přičemž u bankovních úvěrů domácnostem oč</w:t>
      </w:r>
      <w:r w:rsidR="00156EF2" w:rsidRPr="00476BD0">
        <w:rPr>
          <w:szCs w:val="18"/>
        </w:rPr>
        <w:t>e</w:t>
      </w:r>
      <w:r w:rsidR="00EB36AD" w:rsidRPr="00476BD0">
        <w:rPr>
          <w:szCs w:val="18"/>
        </w:rPr>
        <w:t>kávají</w:t>
      </w:r>
      <w:r w:rsidR="00156EF2" w:rsidRPr="00476BD0">
        <w:rPr>
          <w:szCs w:val="18"/>
        </w:rPr>
        <w:t xml:space="preserve"> bankovní analytici </w:t>
      </w:r>
      <w:r w:rsidR="00A4779D" w:rsidRPr="00476BD0">
        <w:rPr>
          <w:szCs w:val="18"/>
        </w:rPr>
        <w:t>6,2</w:t>
      </w:r>
      <w:r w:rsidR="00017461">
        <w:rPr>
          <w:szCs w:val="18"/>
        </w:rPr>
        <w:t>%</w:t>
      </w:r>
      <w:r w:rsidR="00156EF2" w:rsidRPr="00476BD0">
        <w:rPr>
          <w:szCs w:val="18"/>
        </w:rPr>
        <w:t xml:space="preserve"> </w:t>
      </w:r>
      <w:r w:rsidR="00017461" w:rsidRPr="00476BD0">
        <w:rPr>
          <w:szCs w:val="18"/>
        </w:rPr>
        <w:t>růst</w:t>
      </w:r>
      <w:r w:rsidR="00017461">
        <w:rPr>
          <w:szCs w:val="18"/>
        </w:rPr>
        <w:t xml:space="preserve"> (</w:t>
      </w:r>
      <w:r w:rsidR="00156EF2" w:rsidRPr="00476BD0">
        <w:rPr>
          <w:szCs w:val="18"/>
        </w:rPr>
        <w:t xml:space="preserve">resp. 4,8% </w:t>
      </w:r>
      <w:r w:rsidR="00017461">
        <w:rPr>
          <w:szCs w:val="18"/>
        </w:rPr>
        <w:t>napřesrok)</w:t>
      </w:r>
      <w:r w:rsidR="00156EF2" w:rsidRPr="00476BD0">
        <w:rPr>
          <w:szCs w:val="18"/>
        </w:rPr>
        <w:t xml:space="preserve">. Bankovní úvěry firemní klientele porostou o něco pomaleji, tedy o </w:t>
      </w:r>
      <w:r w:rsidR="007D666C" w:rsidRPr="00476BD0">
        <w:rPr>
          <w:szCs w:val="18"/>
        </w:rPr>
        <w:t>3,1</w:t>
      </w:r>
      <w:r w:rsidR="00156EF2" w:rsidRPr="00476BD0">
        <w:rPr>
          <w:szCs w:val="18"/>
        </w:rPr>
        <w:t xml:space="preserve"> % letos a 3,</w:t>
      </w:r>
      <w:r w:rsidR="007D666C" w:rsidRPr="00476BD0">
        <w:rPr>
          <w:szCs w:val="18"/>
        </w:rPr>
        <w:t>4</w:t>
      </w:r>
      <w:r w:rsidR="00156EF2" w:rsidRPr="00476BD0">
        <w:rPr>
          <w:szCs w:val="18"/>
        </w:rPr>
        <w:t xml:space="preserve"> % napřesrok.</w:t>
      </w:r>
      <w:r w:rsidR="00017461">
        <w:rPr>
          <w:szCs w:val="18"/>
        </w:rPr>
        <w:t xml:space="preserve"> </w:t>
      </w:r>
      <w:r w:rsidR="00156EF2" w:rsidRPr="00476BD0">
        <w:rPr>
          <w:szCs w:val="18"/>
        </w:rPr>
        <w:t>Konzervativnost českých střadatelů pak odráží i očekávaný nárůst celkových vkladů pro letošek</w:t>
      </w:r>
      <w:r w:rsidR="00A4779D" w:rsidRPr="00476BD0">
        <w:rPr>
          <w:szCs w:val="18"/>
        </w:rPr>
        <w:t xml:space="preserve"> 10,</w:t>
      </w:r>
      <w:r w:rsidR="00156EF2" w:rsidRPr="00476BD0">
        <w:rPr>
          <w:szCs w:val="18"/>
        </w:rPr>
        <w:t>9 % (!) a pro příští rok stále solidních 5</w:t>
      </w:r>
      <w:r w:rsidR="00A4779D" w:rsidRPr="00476BD0">
        <w:rPr>
          <w:szCs w:val="18"/>
        </w:rPr>
        <w:t>,</w:t>
      </w:r>
      <w:r w:rsidR="007D666C" w:rsidRPr="00476BD0">
        <w:rPr>
          <w:szCs w:val="18"/>
        </w:rPr>
        <w:t>4</w:t>
      </w:r>
      <w:r w:rsidR="00156EF2" w:rsidRPr="00476BD0">
        <w:rPr>
          <w:szCs w:val="18"/>
        </w:rPr>
        <w:t xml:space="preserve"> %.</w:t>
      </w:r>
      <w:r w:rsidR="00893FAA">
        <w:rPr>
          <w:i/>
          <w:iCs/>
          <w:szCs w:val="18"/>
        </w:rPr>
        <w:t xml:space="preserve"> </w:t>
      </w:r>
    </w:p>
    <w:p w14:paraId="07D97D07" w14:textId="77777777" w:rsidR="00017461" w:rsidRDefault="00017461" w:rsidP="002D12BD">
      <w:pPr>
        <w:rPr>
          <w:i/>
          <w:iCs/>
          <w:szCs w:val="18"/>
        </w:rPr>
      </w:pPr>
    </w:p>
    <w:p w14:paraId="6364A713" w14:textId="522F1531" w:rsidR="0035571B" w:rsidRDefault="00893FAA" w:rsidP="002D12BD">
      <w:pPr>
        <w:rPr>
          <w:szCs w:val="18"/>
        </w:rPr>
      </w:pPr>
      <w:r>
        <w:rPr>
          <w:i/>
          <w:iCs/>
          <w:szCs w:val="18"/>
        </w:rPr>
        <w:t>„</w:t>
      </w:r>
      <w:r w:rsidR="009C181E" w:rsidRPr="00893FAA">
        <w:rPr>
          <w:i/>
          <w:iCs/>
          <w:szCs w:val="18"/>
        </w:rPr>
        <w:t>Doposud byla kvalita úvěrových portfolií bank excelentní, podíl úvěrů v selhání byl mezi nejnižšími v Evropě. Není pochyb o tom, že se dvojitá recese, způsobená pandemií, do růstu klasifikovaných úvěrů propíše, nicméně český bankovní sektor je v celoevropském srovnání kapitálově mimořádně dobře vybavený, a vývoj zatím odpovídá základnímu scénáři v aktualizovaných stres-testech, které na začátku léta zveřejnila Česká národní banka</w:t>
      </w:r>
      <w:r w:rsidR="00E77EE7">
        <w:rPr>
          <w:i/>
          <w:iCs/>
          <w:szCs w:val="18"/>
        </w:rPr>
        <w:t>,</w:t>
      </w:r>
      <w:r w:rsidR="009C181E" w:rsidRPr="00893FAA">
        <w:rPr>
          <w:i/>
          <w:iCs/>
          <w:szCs w:val="18"/>
        </w:rPr>
        <w:t xml:space="preserve">“ </w:t>
      </w:r>
      <w:r w:rsidR="009C181E">
        <w:rPr>
          <w:szCs w:val="18"/>
        </w:rPr>
        <w:t>připomenul analytik ČBA Miroslav Zámečník</w:t>
      </w:r>
      <w:r w:rsidR="003A5DED">
        <w:rPr>
          <w:szCs w:val="18"/>
        </w:rPr>
        <w:t>.</w:t>
      </w:r>
      <w:r w:rsidR="009C181E">
        <w:rPr>
          <w:szCs w:val="18"/>
        </w:rPr>
        <w:t xml:space="preserve">  </w:t>
      </w:r>
    </w:p>
    <w:p w14:paraId="74782318" w14:textId="12BE8774" w:rsidR="005954B4" w:rsidRDefault="005954B4" w:rsidP="002D12BD">
      <w:pPr>
        <w:rPr>
          <w:szCs w:val="18"/>
        </w:rPr>
      </w:pPr>
    </w:p>
    <w:p w14:paraId="325F2DE1" w14:textId="086FE82F" w:rsidR="00356262" w:rsidRDefault="00356262" w:rsidP="002D12BD">
      <w:pPr>
        <w:rPr>
          <w:szCs w:val="18"/>
        </w:rPr>
      </w:pPr>
    </w:p>
    <w:p w14:paraId="482B0593" w14:textId="77777777" w:rsidR="00356262" w:rsidRDefault="00356262" w:rsidP="002D12BD">
      <w:pPr>
        <w:rPr>
          <w:szCs w:val="18"/>
        </w:rPr>
      </w:pPr>
    </w:p>
    <w:p w14:paraId="3A190B7A" w14:textId="77777777" w:rsidR="0035571B" w:rsidRPr="00AC57E5" w:rsidRDefault="0035571B" w:rsidP="002D12BD">
      <w:pPr>
        <w:rPr>
          <w:sz w:val="20"/>
        </w:rPr>
      </w:pPr>
    </w:p>
    <w:p w14:paraId="5B66FEF5" w14:textId="367AAF80" w:rsidR="00C93158" w:rsidRDefault="00C93158" w:rsidP="00C93158">
      <w:pPr>
        <w:rPr>
          <w:b/>
          <w:color w:val="007E79"/>
          <w:sz w:val="20"/>
        </w:rPr>
      </w:pPr>
      <w:r w:rsidRPr="00AC57E5">
        <w:rPr>
          <w:b/>
          <w:color w:val="007E79"/>
          <w:sz w:val="20"/>
        </w:rPr>
        <w:lastRenderedPageBreak/>
        <w:t>Prognózy růstu reálného HDP:</w:t>
      </w:r>
    </w:p>
    <w:p w14:paraId="1BAB9007" w14:textId="77777777" w:rsidR="00B83E9D" w:rsidRPr="00AC57E5" w:rsidRDefault="00B83E9D" w:rsidP="00C93158">
      <w:pPr>
        <w:rPr>
          <w:b/>
          <w:color w:val="007E79"/>
          <w:sz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2439"/>
        <w:gridCol w:w="2268"/>
      </w:tblGrid>
      <w:tr w:rsidR="002E732D" w:rsidRPr="00791240" w14:paraId="3241496F" w14:textId="497E938D" w:rsidTr="00B83E9D">
        <w:trPr>
          <w:trHeight w:val="257"/>
        </w:trPr>
        <w:tc>
          <w:tcPr>
            <w:tcW w:w="5783" w:type="dxa"/>
            <w:shd w:val="clear" w:color="auto" w:fill="007E79"/>
            <w:vAlign w:val="center"/>
          </w:tcPr>
          <w:p w14:paraId="194FECE0" w14:textId="77777777" w:rsidR="002E732D" w:rsidRPr="00B83E9D" w:rsidRDefault="002E732D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b/>
                <w:color w:val="FFFFFF"/>
                <w:sz w:val="20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 w:val="20"/>
              </w:rPr>
              <w:t>Instituce (+ nejaktuálnější prognóza)</w:t>
            </w:r>
          </w:p>
        </w:tc>
        <w:tc>
          <w:tcPr>
            <w:tcW w:w="2439" w:type="dxa"/>
            <w:shd w:val="clear" w:color="auto" w:fill="007E79"/>
            <w:vAlign w:val="center"/>
          </w:tcPr>
          <w:p w14:paraId="4F275052" w14:textId="77777777" w:rsidR="002E732D" w:rsidRPr="00B83E9D" w:rsidRDefault="002E732D" w:rsidP="00B83E9D">
            <w:pPr>
              <w:jc w:val="center"/>
              <w:rPr>
                <w:rFonts w:cs="Arial"/>
                <w:b/>
                <w:color w:val="FFFFFF"/>
                <w:sz w:val="20"/>
                <w:szCs w:val="18"/>
              </w:rPr>
            </w:pPr>
            <w:r w:rsidRPr="00B83E9D">
              <w:rPr>
                <w:rFonts w:cs="Arial"/>
                <w:b/>
                <w:color w:val="FFFFFF"/>
                <w:sz w:val="20"/>
                <w:szCs w:val="18"/>
              </w:rPr>
              <w:t>2020</w:t>
            </w:r>
          </w:p>
        </w:tc>
        <w:tc>
          <w:tcPr>
            <w:tcW w:w="2268" w:type="dxa"/>
            <w:shd w:val="clear" w:color="auto" w:fill="007E79"/>
            <w:vAlign w:val="center"/>
          </w:tcPr>
          <w:p w14:paraId="17EF59AC" w14:textId="4A3801D8" w:rsidR="002E732D" w:rsidRPr="00B83E9D" w:rsidRDefault="002E732D" w:rsidP="00B83E9D">
            <w:pPr>
              <w:jc w:val="center"/>
              <w:rPr>
                <w:rFonts w:cs="Arial"/>
                <w:b/>
                <w:color w:val="FFFFFF"/>
                <w:sz w:val="20"/>
                <w:szCs w:val="18"/>
              </w:rPr>
            </w:pPr>
            <w:r w:rsidRPr="00B83E9D">
              <w:rPr>
                <w:rFonts w:cs="Arial"/>
                <w:b/>
                <w:color w:val="FFFFFF"/>
                <w:sz w:val="20"/>
                <w:szCs w:val="18"/>
              </w:rPr>
              <w:t>2021</w:t>
            </w:r>
          </w:p>
        </w:tc>
      </w:tr>
      <w:tr w:rsidR="002E732D" w:rsidRPr="00251963" w14:paraId="48CA0C97" w14:textId="544FDFF8" w:rsidTr="00B83E9D">
        <w:trPr>
          <w:trHeight w:val="257"/>
        </w:trPr>
        <w:tc>
          <w:tcPr>
            <w:tcW w:w="5783" w:type="dxa"/>
            <w:shd w:val="clear" w:color="auto" w:fill="auto"/>
            <w:vAlign w:val="center"/>
          </w:tcPr>
          <w:p w14:paraId="0DAAF388" w14:textId="47053491" w:rsidR="002E732D" w:rsidRPr="00B83E9D" w:rsidRDefault="002E732D" w:rsidP="00B83E9D">
            <w:pPr>
              <w:jc w:val="left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 xml:space="preserve">ČNB (prognóza </w:t>
            </w:r>
            <w:r w:rsidR="007E0BF1" w:rsidRPr="00B83E9D">
              <w:rPr>
                <w:rFonts w:cs="Arial"/>
                <w:sz w:val="20"/>
                <w:szCs w:val="18"/>
              </w:rPr>
              <w:t>červenec</w:t>
            </w:r>
            <w:r w:rsidRPr="00B83E9D">
              <w:rPr>
                <w:rFonts w:cs="Arial"/>
                <w:sz w:val="20"/>
                <w:szCs w:val="18"/>
              </w:rPr>
              <w:t xml:space="preserve"> 2020)           </w:t>
            </w:r>
          </w:p>
        </w:tc>
        <w:tc>
          <w:tcPr>
            <w:tcW w:w="2439" w:type="dxa"/>
            <w:vAlign w:val="center"/>
          </w:tcPr>
          <w:p w14:paraId="1B3B30C1" w14:textId="4D24AE96" w:rsidR="002E732D" w:rsidRPr="00B83E9D" w:rsidRDefault="00B83E9D" w:rsidP="00B83E9D">
            <w:pPr>
              <w:ind w:right="300"/>
              <w:jc w:val="center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 xml:space="preserve">- </w:t>
            </w:r>
            <w:r w:rsidR="007E0BF1" w:rsidRPr="00B83E9D">
              <w:rPr>
                <w:rFonts w:cs="Arial"/>
                <w:sz w:val="20"/>
                <w:szCs w:val="18"/>
              </w:rPr>
              <w:t>8,</w:t>
            </w:r>
            <w:r w:rsidR="007075B3" w:rsidRPr="00B83E9D">
              <w:rPr>
                <w:rFonts w:cs="Arial"/>
                <w:sz w:val="20"/>
                <w:szCs w:val="18"/>
              </w:rPr>
              <w:t>2</w:t>
            </w:r>
            <w:r w:rsidR="009C63C2" w:rsidRPr="00B83E9D">
              <w:rPr>
                <w:rFonts w:cs="Arial"/>
                <w:sz w:val="20"/>
                <w:szCs w:val="18"/>
              </w:rPr>
              <w:t xml:space="preserve"> </w:t>
            </w:r>
            <w:r w:rsidR="002E732D" w:rsidRPr="00B83E9D">
              <w:rPr>
                <w:rFonts w:cs="Arial"/>
                <w:sz w:val="20"/>
                <w:szCs w:val="18"/>
              </w:rPr>
              <w:t>%</w:t>
            </w:r>
          </w:p>
        </w:tc>
        <w:tc>
          <w:tcPr>
            <w:tcW w:w="2268" w:type="dxa"/>
            <w:vAlign w:val="center"/>
          </w:tcPr>
          <w:p w14:paraId="175007AF" w14:textId="07615587" w:rsidR="002E732D" w:rsidRPr="00B83E9D" w:rsidRDefault="007E0BF1" w:rsidP="00B83E9D">
            <w:pPr>
              <w:jc w:val="center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>3,5</w:t>
            </w:r>
            <w:r w:rsidR="002E732D" w:rsidRPr="00B83E9D">
              <w:rPr>
                <w:rFonts w:cs="Arial"/>
                <w:sz w:val="20"/>
                <w:szCs w:val="18"/>
              </w:rPr>
              <w:t xml:space="preserve"> %</w:t>
            </w:r>
          </w:p>
        </w:tc>
      </w:tr>
      <w:tr w:rsidR="002E732D" w:rsidRPr="00251963" w14:paraId="36CF2337" w14:textId="74438F33" w:rsidTr="00B83E9D">
        <w:trPr>
          <w:trHeight w:val="257"/>
        </w:trPr>
        <w:tc>
          <w:tcPr>
            <w:tcW w:w="5783" w:type="dxa"/>
            <w:shd w:val="clear" w:color="auto" w:fill="auto"/>
            <w:vAlign w:val="center"/>
          </w:tcPr>
          <w:p w14:paraId="16BBCA6F" w14:textId="77777777" w:rsidR="00B83E9D" w:rsidRPr="00B83E9D" w:rsidRDefault="002E732D" w:rsidP="00B83E9D">
            <w:pPr>
              <w:jc w:val="left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 xml:space="preserve">Ministerstvo financí ČR </w:t>
            </w:r>
          </w:p>
          <w:p w14:paraId="0A51EAB4" w14:textId="0D051322" w:rsidR="002E732D" w:rsidRPr="00B83E9D" w:rsidRDefault="002E732D" w:rsidP="00B83E9D">
            <w:pPr>
              <w:jc w:val="left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 xml:space="preserve">(makroekonomická predikce </w:t>
            </w:r>
            <w:r w:rsidR="007E0BF1" w:rsidRPr="00B83E9D">
              <w:rPr>
                <w:rFonts w:cs="Arial"/>
                <w:sz w:val="20"/>
                <w:szCs w:val="18"/>
              </w:rPr>
              <w:t>září</w:t>
            </w:r>
            <w:r w:rsidRPr="00B83E9D">
              <w:rPr>
                <w:rFonts w:cs="Arial"/>
                <w:sz w:val="20"/>
                <w:szCs w:val="18"/>
              </w:rPr>
              <w:t xml:space="preserve"> 2020)             </w:t>
            </w:r>
          </w:p>
        </w:tc>
        <w:tc>
          <w:tcPr>
            <w:tcW w:w="2439" w:type="dxa"/>
            <w:vAlign w:val="center"/>
          </w:tcPr>
          <w:p w14:paraId="07D5F971" w14:textId="6E279B7D" w:rsidR="002E732D" w:rsidRPr="00B83E9D" w:rsidRDefault="00B83E9D" w:rsidP="00B83E9D">
            <w:pPr>
              <w:ind w:right="300"/>
              <w:jc w:val="center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 xml:space="preserve">- </w:t>
            </w:r>
            <w:r w:rsidR="007E0BF1" w:rsidRPr="00B83E9D">
              <w:rPr>
                <w:rFonts w:cs="Arial"/>
                <w:sz w:val="20"/>
                <w:szCs w:val="18"/>
              </w:rPr>
              <w:t>6</w:t>
            </w:r>
            <w:r w:rsidR="009C63C2" w:rsidRPr="00B83E9D">
              <w:rPr>
                <w:rFonts w:cs="Arial"/>
                <w:sz w:val="20"/>
                <w:szCs w:val="18"/>
              </w:rPr>
              <w:t>,6 %</w:t>
            </w:r>
          </w:p>
        </w:tc>
        <w:tc>
          <w:tcPr>
            <w:tcW w:w="2268" w:type="dxa"/>
            <w:vAlign w:val="center"/>
          </w:tcPr>
          <w:p w14:paraId="5ED9946E" w14:textId="5F39BE02" w:rsidR="002E732D" w:rsidRPr="00B83E9D" w:rsidRDefault="009C63C2" w:rsidP="00B83E9D">
            <w:pPr>
              <w:jc w:val="center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>3,</w:t>
            </w:r>
            <w:r w:rsidR="007E0BF1" w:rsidRPr="00B83E9D">
              <w:rPr>
                <w:rFonts w:cs="Arial"/>
                <w:sz w:val="20"/>
                <w:szCs w:val="18"/>
              </w:rPr>
              <w:t>9</w:t>
            </w:r>
            <w:r w:rsidR="002E732D" w:rsidRPr="00B83E9D">
              <w:rPr>
                <w:rFonts w:cs="Arial"/>
                <w:sz w:val="20"/>
                <w:szCs w:val="18"/>
              </w:rPr>
              <w:t xml:space="preserve"> %</w:t>
            </w:r>
          </w:p>
        </w:tc>
      </w:tr>
      <w:tr w:rsidR="00626065" w:rsidRPr="00251963" w14:paraId="33F36580" w14:textId="77777777" w:rsidTr="00B83E9D">
        <w:trPr>
          <w:trHeight w:val="257"/>
        </w:trPr>
        <w:tc>
          <w:tcPr>
            <w:tcW w:w="5783" w:type="dxa"/>
            <w:shd w:val="clear" w:color="auto" w:fill="auto"/>
            <w:vAlign w:val="center"/>
          </w:tcPr>
          <w:p w14:paraId="0622E4DC" w14:textId="22F604CB" w:rsidR="00626065" w:rsidRPr="00B83E9D" w:rsidRDefault="00626065" w:rsidP="00B83E9D">
            <w:pPr>
              <w:jc w:val="left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>Evropská komise (</w:t>
            </w:r>
            <w:proofErr w:type="spellStart"/>
            <w:r w:rsidRPr="00B83E9D">
              <w:rPr>
                <w:rFonts w:cs="Arial"/>
                <w:sz w:val="20"/>
                <w:szCs w:val="18"/>
              </w:rPr>
              <w:t>Economic</w:t>
            </w:r>
            <w:proofErr w:type="spellEnd"/>
            <w:r w:rsidRPr="00B83E9D">
              <w:rPr>
                <w:rFonts w:cs="Arial"/>
                <w:sz w:val="20"/>
                <w:szCs w:val="18"/>
              </w:rPr>
              <w:t xml:space="preserve"> </w:t>
            </w:r>
            <w:proofErr w:type="spellStart"/>
            <w:r w:rsidRPr="00B83E9D">
              <w:rPr>
                <w:rFonts w:cs="Arial"/>
                <w:sz w:val="20"/>
                <w:szCs w:val="18"/>
              </w:rPr>
              <w:t>Forecast</w:t>
            </w:r>
            <w:proofErr w:type="spellEnd"/>
            <w:r w:rsidRPr="00B83E9D">
              <w:rPr>
                <w:rFonts w:cs="Arial"/>
                <w:sz w:val="20"/>
                <w:szCs w:val="18"/>
              </w:rPr>
              <w:t>, červenec 2020)</w:t>
            </w:r>
          </w:p>
        </w:tc>
        <w:tc>
          <w:tcPr>
            <w:tcW w:w="2439" w:type="dxa"/>
            <w:vAlign w:val="center"/>
          </w:tcPr>
          <w:p w14:paraId="03B270A4" w14:textId="4E41BCEA" w:rsidR="00626065" w:rsidRPr="00B83E9D" w:rsidRDefault="00B83E9D" w:rsidP="00B83E9D">
            <w:pPr>
              <w:ind w:right="300"/>
              <w:jc w:val="center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 xml:space="preserve">- </w:t>
            </w:r>
            <w:r w:rsidR="00626065" w:rsidRPr="00B83E9D">
              <w:rPr>
                <w:rFonts w:cs="Arial"/>
                <w:sz w:val="20"/>
                <w:szCs w:val="18"/>
              </w:rPr>
              <w:t>7,75 %</w:t>
            </w:r>
          </w:p>
        </w:tc>
        <w:tc>
          <w:tcPr>
            <w:tcW w:w="2268" w:type="dxa"/>
            <w:vAlign w:val="center"/>
          </w:tcPr>
          <w:p w14:paraId="6F97F733" w14:textId="2E01D018" w:rsidR="00626065" w:rsidRPr="00B83E9D" w:rsidRDefault="00626065" w:rsidP="00B83E9D">
            <w:pPr>
              <w:jc w:val="center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>4,5 %</w:t>
            </w:r>
          </w:p>
        </w:tc>
      </w:tr>
      <w:tr w:rsidR="002E732D" w:rsidRPr="00251963" w14:paraId="1841127B" w14:textId="5C20385F" w:rsidTr="00B83E9D">
        <w:trPr>
          <w:trHeight w:val="257"/>
        </w:trPr>
        <w:tc>
          <w:tcPr>
            <w:tcW w:w="5783" w:type="dxa"/>
            <w:shd w:val="clear" w:color="auto" w:fill="auto"/>
            <w:vAlign w:val="center"/>
          </w:tcPr>
          <w:p w14:paraId="4386D38A" w14:textId="7949A57F" w:rsidR="002E732D" w:rsidRPr="00B83E9D" w:rsidRDefault="002E732D" w:rsidP="00B83E9D">
            <w:pPr>
              <w:jc w:val="left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>MMF (</w:t>
            </w:r>
            <w:proofErr w:type="spellStart"/>
            <w:r w:rsidRPr="00B83E9D">
              <w:rPr>
                <w:rFonts w:cs="Arial"/>
                <w:sz w:val="20"/>
                <w:szCs w:val="18"/>
              </w:rPr>
              <w:t>World</w:t>
            </w:r>
            <w:proofErr w:type="spellEnd"/>
            <w:r w:rsidRPr="00B83E9D">
              <w:rPr>
                <w:rFonts w:cs="Arial"/>
                <w:sz w:val="20"/>
                <w:szCs w:val="18"/>
              </w:rPr>
              <w:t xml:space="preserve"> </w:t>
            </w:r>
            <w:proofErr w:type="spellStart"/>
            <w:r w:rsidRPr="00B83E9D">
              <w:rPr>
                <w:rFonts w:cs="Arial"/>
                <w:sz w:val="20"/>
                <w:szCs w:val="18"/>
              </w:rPr>
              <w:t>Economic</w:t>
            </w:r>
            <w:proofErr w:type="spellEnd"/>
            <w:r w:rsidRPr="00B83E9D">
              <w:rPr>
                <w:rFonts w:cs="Arial"/>
                <w:sz w:val="20"/>
                <w:szCs w:val="18"/>
              </w:rPr>
              <w:t xml:space="preserve"> Outlook, </w:t>
            </w:r>
            <w:r w:rsidR="007E0BF1" w:rsidRPr="00B83E9D">
              <w:rPr>
                <w:rFonts w:cs="Arial"/>
                <w:sz w:val="20"/>
                <w:szCs w:val="18"/>
              </w:rPr>
              <w:t>říjen</w:t>
            </w:r>
            <w:r w:rsidRPr="00B83E9D">
              <w:rPr>
                <w:rFonts w:cs="Arial"/>
                <w:sz w:val="20"/>
                <w:szCs w:val="18"/>
              </w:rPr>
              <w:t xml:space="preserve"> 20</w:t>
            </w:r>
            <w:r w:rsidR="00006087" w:rsidRPr="00B83E9D">
              <w:rPr>
                <w:rFonts w:cs="Arial"/>
                <w:sz w:val="20"/>
                <w:szCs w:val="18"/>
              </w:rPr>
              <w:t>20</w:t>
            </w:r>
            <w:r w:rsidRPr="00B83E9D">
              <w:rPr>
                <w:rFonts w:cs="Arial"/>
                <w:sz w:val="20"/>
                <w:szCs w:val="18"/>
              </w:rPr>
              <w:t xml:space="preserve">)    </w:t>
            </w:r>
          </w:p>
        </w:tc>
        <w:tc>
          <w:tcPr>
            <w:tcW w:w="2439" w:type="dxa"/>
            <w:vAlign w:val="center"/>
          </w:tcPr>
          <w:p w14:paraId="6D6008DE" w14:textId="7AC91C15" w:rsidR="002E732D" w:rsidRPr="00B83E9D" w:rsidRDefault="00B83E9D" w:rsidP="00B83E9D">
            <w:pPr>
              <w:ind w:right="300"/>
              <w:jc w:val="center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 xml:space="preserve">- </w:t>
            </w:r>
            <w:r w:rsidR="00006087" w:rsidRPr="00B83E9D">
              <w:rPr>
                <w:rFonts w:cs="Arial"/>
                <w:sz w:val="20"/>
                <w:szCs w:val="18"/>
              </w:rPr>
              <w:t>6,5</w:t>
            </w:r>
            <w:r w:rsidR="002E732D" w:rsidRPr="00B83E9D">
              <w:rPr>
                <w:rFonts w:cs="Arial"/>
                <w:sz w:val="20"/>
                <w:szCs w:val="18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14:paraId="5B1F6A61" w14:textId="4B4F1833" w:rsidR="002E732D" w:rsidRPr="00B83E9D" w:rsidRDefault="00006087" w:rsidP="00B83E9D">
            <w:pPr>
              <w:jc w:val="center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>5</w:t>
            </w:r>
            <w:r w:rsidR="002E1078" w:rsidRPr="00B83E9D">
              <w:rPr>
                <w:rFonts w:cs="Arial"/>
                <w:sz w:val="20"/>
                <w:szCs w:val="18"/>
              </w:rPr>
              <w:t>,1</w:t>
            </w:r>
            <w:r w:rsidR="002E732D" w:rsidRPr="00B83E9D">
              <w:rPr>
                <w:rFonts w:cs="Arial"/>
                <w:sz w:val="20"/>
                <w:szCs w:val="18"/>
              </w:rPr>
              <w:t xml:space="preserve"> %</w:t>
            </w:r>
          </w:p>
        </w:tc>
      </w:tr>
      <w:tr w:rsidR="002E732D" w:rsidRPr="00251963" w14:paraId="136774CF" w14:textId="77777777" w:rsidTr="00B83E9D">
        <w:trPr>
          <w:trHeight w:val="257"/>
        </w:trPr>
        <w:tc>
          <w:tcPr>
            <w:tcW w:w="5783" w:type="dxa"/>
            <w:shd w:val="clear" w:color="auto" w:fill="auto"/>
            <w:vAlign w:val="center"/>
          </w:tcPr>
          <w:p w14:paraId="65AA4375" w14:textId="798D52FC" w:rsidR="002E732D" w:rsidRPr="00B83E9D" w:rsidRDefault="002E732D" w:rsidP="00B83E9D">
            <w:pPr>
              <w:jc w:val="left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 xml:space="preserve">OECD </w:t>
            </w:r>
            <w:r w:rsidR="00006087" w:rsidRPr="00B83E9D">
              <w:rPr>
                <w:rFonts w:cs="Arial"/>
                <w:sz w:val="20"/>
                <w:szCs w:val="18"/>
              </w:rPr>
              <w:t>(</w:t>
            </w:r>
            <w:proofErr w:type="spellStart"/>
            <w:r w:rsidR="00006087" w:rsidRPr="00B83E9D">
              <w:rPr>
                <w:rFonts w:cs="Arial"/>
                <w:sz w:val="20"/>
                <w:szCs w:val="18"/>
              </w:rPr>
              <w:t>Economic</w:t>
            </w:r>
            <w:proofErr w:type="spellEnd"/>
            <w:r w:rsidR="00006087" w:rsidRPr="00B83E9D">
              <w:rPr>
                <w:rFonts w:cs="Arial"/>
                <w:sz w:val="20"/>
                <w:szCs w:val="18"/>
              </w:rPr>
              <w:t xml:space="preserve"> Outlook, </w:t>
            </w:r>
            <w:r w:rsidR="00AA6453" w:rsidRPr="00B83E9D">
              <w:rPr>
                <w:rFonts w:cs="Arial"/>
                <w:sz w:val="20"/>
                <w:szCs w:val="18"/>
              </w:rPr>
              <w:t>září</w:t>
            </w:r>
            <w:r w:rsidR="00006087" w:rsidRPr="00B83E9D">
              <w:rPr>
                <w:rFonts w:cs="Arial"/>
                <w:sz w:val="20"/>
                <w:szCs w:val="18"/>
              </w:rPr>
              <w:t xml:space="preserve"> 2020)</w:t>
            </w:r>
          </w:p>
        </w:tc>
        <w:tc>
          <w:tcPr>
            <w:tcW w:w="2439" w:type="dxa"/>
            <w:vAlign w:val="center"/>
          </w:tcPr>
          <w:p w14:paraId="4FEAC9E7" w14:textId="096A7C65" w:rsidR="002E732D" w:rsidRPr="00B83E9D" w:rsidRDefault="00B83E9D" w:rsidP="00B83E9D">
            <w:pPr>
              <w:ind w:right="300"/>
              <w:jc w:val="center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 xml:space="preserve">- </w:t>
            </w:r>
            <w:r w:rsidR="00006087" w:rsidRPr="00B83E9D">
              <w:rPr>
                <w:rFonts w:cs="Arial"/>
                <w:sz w:val="20"/>
                <w:szCs w:val="18"/>
              </w:rPr>
              <w:t>9,6 %</w:t>
            </w:r>
            <w:r w:rsidR="00AA6453" w:rsidRPr="00B83E9D">
              <w:rPr>
                <w:rFonts w:cs="Arial"/>
                <w:sz w:val="20"/>
                <w:szCs w:val="18"/>
              </w:rPr>
              <w:t xml:space="preserve"> /- 13,2 %</w:t>
            </w:r>
          </w:p>
        </w:tc>
        <w:tc>
          <w:tcPr>
            <w:tcW w:w="2268" w:type="dxa"/>
            <w:vAlign w:val="center"/>
          </w:tcPr>
          <w:p w14:paraId="7D507A0E" w14:textId="21F1C1F2" w:rsidR="002E732D" w:rsidRPr="00B83E9D" w:rsidRDefault="00006087" w:rsidP="00B83E9D">
            <w:pPr>
              <w:jc w:val="center"/>
              <w:rPr>
                <w:rFonts w:cs="Arial"/>
                <w:sz w:val="20"/>
                <w:szCs w:val="18"/>
              </w:rPr>
            </w:pPr>
            <w:r w:rsidRPr="00B83E9D">
              <w:rPr>
                <w:rFonts w:cs="Arial"/>
                <w:sz w:val="20"/>
                <w:szCs w:val="18"/>
              </w:rPr>
              <w:t>7,1 %</w:t>
            </w:r>
            <w:r w:rsidR="00AA6453" w:rsidRPr="00B83E9D">
              <w:rPr>
                <w:rFonts w:cs="Arial"/>
                <w:sz w:val="20"/>
                <w:szCs w:val="18"/>
              </w:rPr>
              <w:t xml:space="preserve"> / 1,7 %</w:t>
            </w:r>
          </w:p>
        </w:tc>
      </w:tr>
      <w:tr w:rsidR="002E732D" w:rsidRPr="00D06DE3" w14:paraId="04F9D0FF" w14:textId="5F40EB38" w:rsidTr="00B83E9D">
        <w:trPr>
          <w:trHeight w:val="242"/>
        </w:trPr>
        <w:tc>
          <w:tcPr>
            <w:tcW w:w="5783" w:type="dxa"/>
            <w:shd w:val="clear" w:color="auto" w:fill="auto"/>
            <w:vAlign w:val="center"/>
          </w:tcPr>
          <w:p w14:paraId="136EA678" w14:textId="49E3CC6A" w:rsidR="002E732D" w:rsidRPr="00B83E9D" w:rsidRDefault="002E732D" w:rsidP="00B83E9D">
            <w:pPr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 w:rsidRPr="00B83E9D">
              <w:rPr>
                <w:rFonts w:cs="Arial"/>
                <w:b/>
                <w:bCs/>
                <w:color w:val="FF0000"/>
                <w:sz w:val="20"/>
                <w:szCs w:val="18"/>
              </w:rPr>
              <w:t xml:space="preserve">ČBA (prognóza </w:t>
            </w:r>
            <w:r w:rsidR="002E1078" w:rsidRPr="00B83E9D">
              <w:rPr>
                <w:rFonts w:cs="Arial"/>
                <w:b/>
                <w:bCs/>
                <w:color w:val="FF0000"/>
                <w:sz w:val="20"/>
                <w:szCs w:val="18"/>
              </w:rPr>
              <w:t>říjen</w:t>
            </w:r>
            <w:r w:rsidRPr="00B83E9D">
              <w:rPr>
                <w:rFonts w:cs="Arial"/>
                <w:b/>
                <w:bCs/>
                <w:color w:val="FF0000"/>
                <w:sz w:val="20"/>
                <w:szCs w:val="18"/>
              </w:rPr>
              <w:t xml:space="preserve"> 2020)       </w:t>
            </w:r>
          </w:p>
        </w:tc>
        <w:tc>
          <w:tcPr>
            <w:tcW w:w="2439" w:type="dxa"/>
            <w:shd w:val="clear" w:color="auto" w:fill="FFFF00"/>
            <w:vAlign w:val="center"/>
          </w:tcPr>
          <w:p w14:paraId="4F838E60" w14:textId="01F3993A" w:rsidR="002E732D" w:rsidRPr="00B83E9D" w:rsidRDefault="00B83E9D" w:rsidP="00B83E9D">
            <w:pPr>
              <w:ind w:right="300"/>
              <w:jc w:val="center"/>
              <w:rPr>
                <w:rFonts w:cs="Arial"/>
                <w:b/>
                <w:bCs/>
                <w:color w:val="FF0000"/>
                <w:sz w:val="20"/>
              </w:rPr>
            </w:pPr>
            <w:r w:rsidRPr="00B83E9D">
              <w:rPr>
                <w:rFonts w:cs="Arial"/>
                <w:b/>
                <w:color w:val="FF0000"/>
                <w:sz w:val="20"/>
                <w:szCs w:val="18"/>
              </w:rPr>
              <w:t xml:space="preserve">- </w:t>
            </w:r>
            <w:r w:rsidR="00A4779D" w:rsidRPr="00B83E9D">
              <w:rPr>
                <w:rFonts w:cs="Arial"/>
                <w:b/>
                <w:color w:val="FF0000"/>
                <w:sz w:val="20"/>
                <w:szCs w:val="18"/>
              </w:rPr>
              <w:t>8</w:t>
            </w:r>
            <w:r w:rsidR="007075B3" w:rsidRPr="00B83E9D">
              <w:rPr>
                <w:rFonts w:cs="Arial"/>
                <w:b/>
                <w:color w:val="FF0000"/>
                <w:sz w:val="20"/>
                <w:szCs w:val="18"/>
              </w:rPr>
              <w:t>,0</w:t>
            </w:r>
            <w:r w:rsidR="002E732D" w:rsidRPr="00B83E9D">
              <w:rPr>
                <w:rFonts w:cs="Arial"/>
                <w:b/>
                <w:color w:val="FF0000"/>
                <w:sz w:val="20"/>
                <w:szCs w:val="18"/>
              </w:rPr>
              <w:t xml:space="preserve"> %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88CB755" w14:textId="12EDC7CE" w:rsidR="002E732D" w:rsidRPr="00B83E9D" w:rsidRDefault="00A4779D" w:rsidP="00B83E9D">
            <w:pPr>
              <w:pStyle w:val="Normln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83E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2,</w:t>
            </w:r>
            <w:r w:rsidR="007075B3" w:rsidRPr="00B83E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2E732D" w:rsidRPr="00B83E9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%</w:t>
            </w:r>
          </w:p>
        </w:tc>
      </w:tr>
    </w:tbl>
    <w:p w14:paraId="4693D087" w14:textId="0A0CD5DF" w:rsidR="00FA3413" w:rsidRPr="002F6016" w:rsidRDefault="002F6016" w:rsidP="00C93158">
      <w:pPr>
        <w:rPr>
          <w:i/>
          <w:sz w:val="16"/>
          <w:szCs w:val="16"/>
        </w:rPr>
      </w:pPr>
      <w:r w:rsidRPr="002F6016">
        <w:rPr>
          <w:i/>
          <w:sz w:val="16"/>
          <w:szCs w:val="16"/>
        </w:rPr>
        <w:t xml:space="preserve">Pozn.: OECD modeluje 2 scénáře poklesu hospodářské aktivity ve tvaru buď „V“ nebo „W“ (Single Hit </w:t>
      </w:r>
      <w:proofErr w:type="spellStart"/>
      <w:r w:rsidRPr="002F6016">
        <w:rPr>
          <w:i/>
          <w:sz w:val="16"/>
          <w:szCs w:val="16"/>
        </w:rPr>
        <w:t>vers</w:t>
      </w:r>
      <w:proofErr w:type="spellEnd"/>
      <w:r w:rsidRPr="002F6016">
        <w:rPr>
          <w:i/>
          <w:sz w:val="16"/>
          <w:szCs w:val="16"/>
        </w:rPr>
        <w:t xml:space="preserve">. Double Hit </w:t>
      </w:r>
      <w:proofErr w:type="spellStart"/>
      <w:r w:rsidRPr="002F6016">
        <w:rPr>
          <w:i/>
          <w:sz w:val="16"/>
          <w:szCs w:val="16"/>
        </w:rPr>
        <w:t>Scenario</w:t>
      </w:r>
      <w:proofErr w:type="spellEnd"/>
      <w:r w:rsidRPr="002F6016">
        <w:rPr>
          <w:i/>
          <w:sz w:val="16"/>
          <w:szCs w:val="16"/>
        </w:rPr>
        <w:t>)</w:t>
      </w:r>
    </w:p>
    <w:p w14:paraId="76A4FED4" w14:textId="734CDE40" w:rsidR="007D666C" w:rsidRDefault="007D666C" w:rsidP="00C93158">
      <w:pPr>
        <w:rPr>
          <w:b/>
          <w:color w:val="007E79"/>
          <w:sz w:val="20"/>
        </w:rPr>
      </w:pPr>
    </w:p>
    <w:p w14:paraId="66F73B34" w14:textId="77777777" w:rsidR="00E77EE7" w:rsidRDefault="00E77EE7" w:rsidP="00C93158">
      <w:pPr>
        <w:rPr>
          <w:b/>
          <w:color w:val="007E79"/>
          <w:sz w:val="20"/>
        </w:rPr>
      </w:pPr>
    </w:p>
    <w:p w14:paraId="0FC19613" w14:textId="53EE439F" w:rsidR="00C93158" w:rsidRPr="00302451" w:rsidRDefault="00C93158" w:rsidP="00C93158">
      <w:pPr>
        <w:rPr>
          <w:b/>
          <w:color w:val="007E79"/>
          <w:sz w:val="20"/>
        </w:rPr>
      </w:pPr>
      <w:r w:rsidRPr="00302451">
        <w:rPr>
          <w:b/>
          <w:color w:val="007E79"/>
          <w:sz w:val="20"/>
        </w:rPr>
        <w:t>Makroekonomická prognóza ČBA v číslech:</w:t>
      </w:r>
    </w:p>
    <w:p w14:paraId="10A71CAA" w14:textId="5C88FB90" w:rsidR="00C93158" w:rsidRDefault="00C93158" w:rsidP="00C93158">
      <w:pPr>
        <w:rPr>
          <w:rFonts w:cs="Arial"/>
          <w:sz w:val="20"/>
          <w:szCs w:val="18"/>
        </w:rPr>
      </w:pPr>
    </w:p>
    <w:tbl>
      <w:tblPr>
        <w:tblW w:w="95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1370"/>
        <w:gridCol w:w="1780"/>
        <w:gridCol w:w="1455"/>
      </w:tblGrid>
      <w:tr w:rsidR="00156EF2" w:rsidRPr="0065675B" w14:paraId="4B1594D4" w14:textId="5AF73129" w:rsidTr="00B83E9D">
        <w:trPr>
          <w:trHeight w:val="90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68ED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Ukazatel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FCB5" w14:textId="4FFB2323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2019 (skutečnost)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9A869" w14:textId="77777777" w:rsidR="00B83E9D" w:rsidRDefault="00156EF2" w:rsidP="00B83E9D">
            <w:pPr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 xml:space="preserve">2020 </w:t>
            </w:r>
          </w:p>
          <w:p w14:paraId="66D66CB7" w14:textId="2D8628D8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(prognóza)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E79"/>
            <w:vAlign w:val="center"/>
          </w:tcPr>
          <w:p w14:paraId="38B58E05" w14:textId="77777777" w:rsidR="00B83E9D" w:rsidRDefault="00156EF2" w:rsidP="00B83E9D">
            <w:pPr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 xml:space="preserve">2021 </w:t>
            </w:r>
          </w:p>
          <w:p w14:paraId="5825E283" w14:textId="20C4CB3C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(prognóza)</w:t>
            </w:r>
          </w:p>
        </w:tc>
      </w:tr>
      <w:tr w:rsidR="00156EF2" w:rsidRPr="0065675B" w14:paraId="6C6060CF" w14:textId="406F95A7" w:rsidTr="00B83E9D">
        <w:trPr>
          <w:trHeight w:val="89"/>
          <w:jc w:val="center"/>
        </w:trPr>
        <w:tc>
          <w:tcPr>
            <w:tcW w:w="48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5585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Růst reálného HDP (%)</w:t>
            </w:r>
          </w:p>
        </w:tc>
        <w:tc>
          <w:tcPr>
            <w:tcW w:w="13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0394A" w14:textId="14C354E1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2,5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27DCA" w14:textId="151DD74B" w:rsidR="00156EF2" w:rsidRPr="00B83E9D" w:rsidRDefault="00B83E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-</w:t>
            </w:r>
            <w:r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 xml:space="preserve"> </w:t>
            </w:r>
            <w:r w:rsidR="00D6160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8</w:t>
            </w:r>
            <w:r w:rsidR="007075B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,0</w:t>
            </w:r>
          </w:p>
        </w:tc>
        <w:tc>
          <w:tcPr>
            <w:tcW w:w="14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13CD0E3F" w14:textId="6D12FC3D" w:rsidR="00156EF2" w:rsidRPr="00B83E9D" w:rsidRDefault="00A477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2,</w:t>
            </w:r>
            <w:r w:rsidR="007075B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0</w:t>
            </w:r>
          </w:p>
        </w:tc>
      </w:tr>
      <w:tr w:rsidR="00156EF2" w:rsidRPr="0065675B" w14:paraId="646474FC" w14:textId="3CA853EA" w:rsidTr="00B83E9D">
        <w:trPr>
          <w:trHeight w:val="93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C867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Podíl nezaměstnaných osob (MPSV): průměr (%)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AAA210" w14:textId="1CB6182B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2,8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17F024" w14:textId="51FEAF0A" w:rsidR="00156EF2" w:rsidRPr="00B83E9D" w:rsidRDefault="00A477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3,7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20A8075C" w14:textId="3061170C" w:rsidR="00156EF2" w:rsidRPr="00B83E9D" w:rsidRDefault="00A477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4,7</w:t>
            </w:r>
          </w:p>
        </w:tc>
      </w:tr>
      <w:tr w:rsidR="00156EF2" w:rsidRPr="0065675B" w14:paraId="636D37C4" w14:textId="692F159B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D490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Průměrná nominální mzda (růst v %)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A15EC4" w14:textId="08D72BEF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7,0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BD4E2E" w14:textId="53C11496" w:rsidR="00156EF2" w:rsidRPr="00B83E9D" w:rsidRDefault="00A477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2,</w:t>
            </w:r>
            <w:r w:rsidR="00D6160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5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4E5CDC8F" w14:textId="7178B2E4" w:rsidR="00156EF2" w:rsidRPr="00B83E9D" w:rsidRDefault="00A477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2,</w:t>
            </w:r>
            <w:r w:rsidR="00D6160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7</w:t>
            </w:r>
          </w:p>
        </w:tc>
      </w:tr>
      <w:tr w:rsidR="00156EF2" w:rsidRPr="0065675B" w14:paraId="3BA814CF" w14:textId="5B864073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13A2F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Míra inflace: CPI (%) průměr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5738C" w14:textId="4C8A0F64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2,8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5E8884" w14:textId="77919359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3,</w:t>
            </w:r>
            <w:r w:rsidR="00A4779D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48636833" w14:textId="7ACC3C27" w:rsidR="00156EF2" w:rsidRPr="00B83E9D" w:rsidRDefault="00A477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2,</w:t>
            </w:r>
            <w:r w:rsidR="00D6160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</w:t>
            </w:r>
          </w:p>
        </w:tc>
      </w:tr>
      <w:tr w:rsidR="00156EF2" w:rsidRPr="0065675B" w14:paraId="521233EC" w14:textId="28A14000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30F8F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Vládní deficit/přebytek (% HDP)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BE628" w14:textId="25F823E6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0,2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494613" w14:textId="1E344F07" w:rsidR="00156EF2" w:rsidRPr="00B83E9D" w:rsidRDefault="00B83E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-</w:t>
            </w:r>
            <w:r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 xml:space="preserve"> </w:t>
            </w:r>
            <w:r w:rsidR="00A4779D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4D2100D0" w14:textId="5A37910F" w:rsidR="00156EF2" w:rsidRPr="00B83E9D" w:rsidRDefault="00B83E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 xml:space="preserve">- </w:t>
            </w:r>
            <w:r w:rsidR="00A4779D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5</w:t>
            </w:r>
            <w:r w:rsidR="003E31EA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,</w:t>
            </w:r>
            <w:r w:rsidR="00D6160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6</w:t>
            </w:r>
          </w:p>
        </w:tc>
      </w:tr>
      <w:tr w:rsidR="00156EF2" w:rsidRPr="0065675B" w14:paraId="14378C53" w14:textId="062909FA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C9AA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 xml:space="preserve">Vládní dluh (% HDP) 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4CED1C" w14:textId="547FCD89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30,8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312A7B" w14:textId="63996B0F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39,</w:t>
            </w:r>
            <w:r w:rsidR="00D6160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6F706A33" w14:textId="7A9B5698" w:rsidR="00156EF2" w:rsidRPr="00B83E9D" w:rsidRDefault="003E31EA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42,</w:t>
            </w:r>
            <w:r w:rsidR="00D6160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</w:t>
            </w:r>
          </w:p>
        </w:tc>
      </w:tr>
      <w:tr w:rsidR="00156EF2" w:rsidRPr="0065675B" w14:paraId="552BE0D0" w14:textId="46A71113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0540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Růst spotřeby domácností (%) reálně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152515" w14:textId="446651B4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2,7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3C80F4" w14:textId="4F317CE3" w:rsidR="00156EF2" w:rsidRPr="00B83E9D" w:rsidRDefault="00B83E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-</w:t>
            </w:r>
            <w:r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 xml:space="preserve"> </w:t>
            </w:r>
            <w:r w:rsidR="00A4779D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5,</w:t>
            </w:r>
            <w:r w:rsidR="00D6160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1246EB22" w14:textId="470764C8" w:rsidR="00156EF2" w:rsidRPr="00B83E9D" w:rsidRDefault="00A477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1,9</w:t>
            </w:r>
          </w:p>
        </w:tc>
      </w:tr>
      <w:tr w:rsidR="00156EF2" w:rsidRPr="0065675B" w14:paraId="1648A5F3" w14:textId="45B73A0A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730B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Růst vládní spotřeby (%) reálně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257DD9" w14:textId="56FB32E0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3,1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9B385" w14:textId="23B8134C" w:rsidR="00156EF2" w:rsidRPr="00B83E9D" w:rsidRDefault="00D61603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3</w:t>
            </w:r>
            <w:r w:rsidR="00A4779D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,</w:t>
            </w: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213A5E70" w14:textId="28DDBA6F" w:rsidR="00156EF2" w:rsidRPr="00B83E9D" w:rsidRDefault="003E31EA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2,</w:t>
            </w:r>
            <w:r w:rsidR="00A4779D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5</w:t>
            </w:r>
          </w:p>
        </w:tc>
      </w:tr>
      <w:tr w:rsidR="00156EF2" w:rsidRPr="0065675B" w14:paraId="4EA7D3E3" w14:textId="5745A921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0A54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Růst investic (%) reálně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437F0" w14:textId="5826B688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1,1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92B148" w14:textId="6856BF69" w:rsidR="00156EF2" w:rsidRPr="00B83E9D" w:rsidRDefault="00B83E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-</w:t>
            </w:r>
            <w:r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 xml:space="preserve"> </w:t>
            </w:r>
            <w:r w:rsidR="00A4779D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8,0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26764AE7" w14:textId="607B2DE2" w:rsidR="00156EF2" w:rsidRPr="00B83E9D" w:rsidRDefault="00A477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</w:t>
            </w:r>
            <w:r w:rsidR="003E31EA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,6</w:t>
            </w:r>
          </w:p>
        </w:tc>
      </w:tr>
      <w:tr w:rsidR="00156EF2" w:rsidRPr="0065675B" w14:paraId="10E01B12" w14:textId="77777777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26DDE6" w14:textId="5B6E0CA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Růst vývozů (%) reálně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54F6FA" w14:textId="6925AC83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1,9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93902A" w14:textId="41C4EAFC" w:rsidR="00156EF2" w:rsidRPr="00B83E9D" w:rsidRDefault="00B83E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-</w:t>
            </w:r>
            <w:r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 xml:space="preserve"> </w:t>
            </w:r>
            <w:r w:rsidR="00156EF2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1</w:t>
            </w:r>
            <w:r w:rsidR="00D6160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1</w:t>
            </w:r>
            <w:r w:rsidR="00156EF2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,</w:t>
            </w:r>
            <w:r w:rsidR="00D6160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3C0E6FB4" w14:textId="13F942F9" w:rsidR="00156EF2" w:rsidRPr="00B83E9D" w:rsidRDefault="000C552C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6,</w:t>
            </w:r>
            <w:r w:rsidR="00D61603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0</w:t>
            </w:r>
          </w:p>
        </w:tc>
      </w:tr>
      <w:tr w:rsidR="00156EF2" w:rsidRPr="0065675B" w14:paraId="630C8A48" w14:textId="77777777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925B36" w14:textId="5F366F9C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Růst dovozů (%) reálně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286ABA" w14:textId="7CC66B1B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1,6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357BC" w14:textId="0D8ECA35" w:rsidR="00156EF2" w:rsidRPr="00B83E9D" w:rsidRDefault="00B83E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-</w:t>
            </w:r>
            <w:r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 xml:space="preserve"> </w:t>
            </w:r>
            <w:r w:rsidR="00A4779D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9,0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2A99A2F0" w14:textId="37DAE1C5" w:rsidR="00156EF2" w:rsidRPr="00B83E9D" w:rsidRDefault="000C552C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6,0</w:t>
            </w:r>
          </w:p>
        </w:tc>
      </w:tr>
      <w:tr w:rsidR="00156EF2" w:rsidRPr="0065675B" w14:paraId="6F4CA3D3" w14:textId="232459AF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87A8E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Růst reálného HDP v eurozóně (%)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9801DE" w14:textId="15830668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1,2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8C9C15" w14:textId="05BD9AF8" w:rsidR="00156EF2" w:rsidRPr="00B83E9D" w:rsidRDefault="00B83E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-</w:t>
            </w:r>
            <w:r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 xml:space="preserve"> </w:t>
            </w:r>
            <w:r w:rsidR="00A4779D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8,0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44915947" w14:textId="14C67CA3" w:rsidR="00156EF2" w:rsidRPr="00B83E9D" w:rsidRDefault="000C552C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4</w:t>
            </w:r>
            <w:r w:rsidR="003E31EA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,2</w:t>
            </w:r>
          </w:p>
        </w:tc>
      </w:tr>
      <w:tr w:rsidR="00156EF2" w:rsidRPr="0065675B" w14:paraId="60142AA4" w14:textId="171AD64E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B974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Směnný kurz CZK/EUR: průměr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226044" w14:textId="0030192E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25,67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D3C408" w14:textId="2BF09D84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26,</w:t>
            </w:r>
            <w:r w:rsidR="00A4779D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56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7B9C3C2F" w14:textId="15781129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</w:t>
            </w:r>
            <w:r w:rsidR="000C552C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6,2</w:t>
            </w:r>
            <w:r w:rsidR="00B2720B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8</w:t>
            </w:r>
          </w:p>
        </w:tc>
      </w:tr>
      <w:tr w:rsidR="00156EF2" w:rsidRPr="0065675B" w14:paraId="445C4C94" w14:textId="33BDCCB6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B737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Ceny ropy (USD za barel): brent průměr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A44B85" w14:textId="58B7B2D8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64,1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F1E147" w14:textId="3A7C651C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4</w:t>
            </w:r>
            <w:r w:rsidR="00A4779D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</w:t>
            </w: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,</w:t>
            </w:r>
            <w:r w:rsidR="00B2720B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55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136342DA" w14:textId="5AF47FCF" w:rsidR="00156EF2" w:rsidRPr="00B83E9D" w:rsidRDefault="003E31EA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4</w:t>
            </w:r>
            <w:r w:rsidR="00B2720B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9</w:t>
            </w: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,</w:t>
            </w:r>
            <w:r w:rsidR="00B2720B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9</w:t>
            </w: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0</w:t>
            </w:r>
          </w:p>
        </w:tc>
      </w:tr>
      <w:tr w:rsidR="00156EF2" w:rsidRPr="0065675B" w14:paraId="23861021" w14:textId="62086BC7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9BAA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 xml:space="preserve">Základní sazba ČNB </w:t>
            </w:r>
            <w:proofErr w:type="gramStart"/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2T</w:t>
            </w:r>
            <w:proofErr w:type="gramEnd"/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 xml:space="preserve"> REPO (%): konec období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9D982A" w14:textId="20529239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2,00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35022" w14:textId="47B0FA43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0,25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781B8F2D" w14:textId="7450C387" w:rsidR="00156EF2" w:rsidRPr="00B83E9D" w:rsidRDefault="003E31EA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0,</w:t>
            </w:r>
            <w:r w:rsidR="00153D1F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25</w:t>
            </w:r>
          </w:p>
        </w:tc>
      </w:tr>
      <w:tr w:rsidR="00156EF2" w:rsidRPr="0065675B" w14:paraId="32A294F8" w14:textId="5450A20A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8B6A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Základní sazba ECB (%): konec období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56D446" w14:textId="6A0E2CAE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0,0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1A4A56" w14:textId="4400CDB6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0,0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34653AAA" w14:textId="5B4A0745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0,0</w:t>
            </w:r>
          </w:p>
        </w:tc>
      </w:tr>
      <w:tr w:rsidR="00156EF2" w:rsidRPr="0065675B" w14:paraId="72155F13" w14:textId="2A886E37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ABC3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3M-PRIBOR (%): průměr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373A3" w14:textId="11E0404E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2,12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680F07" w14:textId="2D316482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0,8</w:t>
            </w:r>
            <w:r w:rsidR="00B2720B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4EF90161" w14:textId="4FAED25E" w:rsidR="00156EF2" w:rsidRPr="00B83E9D" w:rsidRDefault="003E31EA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0,3</w:t>
            </w:r>
            <w:r w:rsidR="00B2720B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6</w:t>
            </w:r>
          </w:p>
        </w:tc>
      </w:tr>
      <w:tr w:rsidR="00156EF2" w:rsidRPr="0065675B" w14:paraId="50544107" w14:textId="41B6D86E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D4C72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Růst bankovních úvěrů klientských (%)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019AA" w14:textId="0AB0FEA9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5,2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457989" w14:textId="4210389A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4,</w:t>
            </w:r>
            <w:r w:rsidR="00B2720B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1E99C6E9" w14:textId="4F2BD862" w:rsidR="00156EF2" w:rsidRPr="00B83E9D" w:rsidRDefault="00B2720B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3,6</w:t>
            </w:r>
          </w:p>
        </w:tc>
      </w:tr>
      <w:tr w:rsidR="00156EF2" w:rsidRPr="0065675B" w14:paraId="32076E5F" w14:textId="0C708F0C" w:rsidTr="00B83E9D">
        <w:trPr>
          <w:trHeight w:val="89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9597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Růst bankovních úvěrů domácnostem (%)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369240" w14:textId="33F22929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6,6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957DC9" w14:textId="48F9413A" w:rsidR="00156EF2" w:rsidRPr="00B83E9D" w:rsidRDefault="00A477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6,2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552C6DE4" w14:textId="7AEE559B" w:rsidR="00156EF2" w:rsidRPr="00B83E9D" w:rsidRDefault="003E31EA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4</w:t>
            </w:r>
            <w:r w:rsidR="00156EF2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,</w:t>
            </w: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8</w:t>
            </w:r>
          </w:p>
        </w:tc>
      </w:tr>
      <w:tr w:rsidR="00156EF2" w:rsidRPr="0065675B" w14:paraId="418E71CA" w14:textId="248095F4" w:rsidTr="00B83E9D">
        <w:trPr>
          <w:trHeight w:val="86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1125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Růst bankovních úvěrů (nefinančním) podnikům (%)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6F2A8B" w14:textId="451C9173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4,3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BFD657" w14:textId="41B6493C" w:rsidR="00156EF2" w:rsidRPr="00B83E9D" w:rsidRDefault="00B2720B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3,1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7405681C" w14:textId="50BB3C24" w:rsidR="00156EF2" w:rsidRPr="00B83E9D" w:rsidRDefault="003E31EA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3,</w:t>
            </w:r>
            <w:r w:rsidR="00B2720B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4</w:t>
            </w:r>
          </w:p>
        </w:tc>
      </w:tr>
      <w:tr w:rsidR="00156EF2" w:rsidRPr="0065675B" w14:paraId="1C64EB0D" w14:textId="0E77FC67" w:rsidTr="00B83E9D">
        <w:trPr>
          <w:trHeight w:val="86"/>
          <w:jc w:val="center"/>
        </w:trPr>
        <w:tc>
          <w:tcPr>
            <w:tcW w:w="4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E7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03657" w14:textId="77777777" w:rsidR="00156EF2" w:rsidRPr="00B83E9D" w:rsidRDefault="00156EF2" w:rsidP="00B83E9D">
            <w:pPr>
              <w:autoSpaceDE/>
              <w:autoSpaceDN/>
              <w:adjustRightInd/>
              <w:spacing w:line="256" w:lineRule="auto"/>
              <w:jc w:val="left"/>
              <w:textAlignment w:val="auto"/>
              <w:rPr>
                <w:rFonts w:cs="Arial"/>
                <w:szCs w:val="18"/>
              </w:rPr>
            </w:pPr>
            <w:r w:rsidRPr="00B83E9D">
              <w:rPr>
                <w:rFonts w:cs="Arial"/>
                <w:b/>
                <w:bCs/>
                <w:color w:val="FFFFFF" w:themeColor="light1"/>
                <w:kern w:val="24"/>
                <w:szCs w:val="18"/>
              </w:rPr>
              <w:t>Růst bankovních vkladů klientských celkem (%)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7631DE" w14:textId="1BBAD734" w:rsidR="00156EF2" w:rsidRPr="00B83E9D" w:rsidRDefault="00156EF2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44546A" w:themeColor="text2"/>
                <w:kern w:val="24"/>
                <w:szCs w:val="18"/>
              </w:rPr>
              <w:t>9,7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63EC17" w14:textId="7F01A6A1" w:rsidR="00156EF2" w:rsidRPr="00B83E9D" w:rsidRDefault="00A4779D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10,9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2C1AA335" w14:textId="0B88C60F" w:rsidR="00156EF2" w:rsidRPr="00B83E9D" w:rsidRDefault="003E31EA" w:rsidP="00B83E9D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bottom"/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</w:pPr>
            <w:r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5,</w:t>
            </w:r>
            <w:r w:rsidR="00B2720B" w:rsidRPr="00B83E9D">
              <w:rPr>
                <w:rFonts w:eastAsia="PMingLiU" w:cs="Arial"/>
                <w:b/>
                <w:bCs/>
                <w:color w:val="000000"/>
                <w:kern w:val="24"/>
                <w:szCs w:val="18"/>
              </w:rPr>
              <w:t>4</w:t>
            </w:r>
          </w:p>
        </w:tc>
      </w:tr>
    </w:tbl>
    <w:p w14:paraId="4EA149B1" w14:textId="77777777" w:rsidR="00B83E9D" w:rsidRDefault="00B83E9D" w:rsidP="00F67E6A">
      <w:pPr>
        <w:rPr>
          <w:rFonts w:eastAsiaTheme="minorEastAsia" w:cs="Arial"/>
        </w:rPr>
      </w:pPr>
    </w:p>
    <w:p w14:paraId="186F1902" w14:textId="77777777" w:rsidR="00B83E9D" w:rsidRDefault="00B83E9D" w:rsidP="00F67E6A">
      <w:pPr>
        <w:rPr>
          <w:rFonts w:eastAsiaTheme="minorEastAsia" w:cs="Arial"/>
        </w:rPr>
      </w:pPr>
    </w:p>
    <w:p w14:paraId="1AE6FC8E" w14:textId="1C94EDAF" w:rsidR="005C1943" w:rsidRPr="00517111" w:rsidRDefault="0065675B" w:rsidP="00F67E6A">
      <w:pPr>
        <w:rPr>
          <w:rFonts w:eastAsiaTheme="minorEastAsia" w:cs="Arial"/>
        </w:rPr>
      </w:pPr>
      <w:r w:rsidRPr="00F615B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56C0884C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2181225" cy="1637665"/>
                <wp:effectExtent l="0" t="0" r="9525" b="635"/>
                <wp:wrapSquare wrapText="bothSides"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3766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BD7B5A" w:rsidRPr="005A44FF" w:rsidRDefault="00BD7B5A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BD7B5A" w:rsidRPr="005A44FF" w:rsidRDefault="00BD7B5A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BD7B5A" w:rsidRPr="003D3951" w:rsidRDefault="00BD7B5A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BD7B5A" w:rsidRPr="005A44FF" w:rsidRDefault="00BD7B5A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BD7B5A" w:rsidRPr="005A44FF" w:rsidRDefault="00BD7B5A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9EB82FC" w14:textId="3559271E" w:rsidR="00BD7B5A" w:rsidRPr="005A44FF" w:rsidRDefault="00B83E9D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monika.</w:t>
                            </w:r>
                            <w:r w:rsidR="00BD7B5A" w:rsidRPr="005A44FF">
                              <w:rPr>
                                <w:rFonts w:cs="Arial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cbaonline</w:t>
                            </w:r>
                            <w:r w:rsidR="00BD7B5A" w:rsidRPr="005A44FF">
                              <w:rPr>
                                <w:rFonts w:cs="Arial"/>
                                <w:szCs w:val="18"/>
                              </w:rPr>
                              <w:t>.cz</w:t>
                            </w:r>
                          </w:p>
                          <w:p w14:paraId="0B0CE061" w14:textId="77777777" w:rsidR="00BD7B5A" w:rsidRPr="005A44FF" w:rsidRDefault="00BD7B5A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BD7B5A" w:rsidRDefault="00BD7B5A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7" style="position:absolute;left:0;text-align:left;margin-left:120.55pt;margin-top:17.9pt;width:171.75pt;height:128.9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" fillcolor="#007e79" stroked="f" strokeweight="1pt">
                <v:fill opacity="32639f"/>
                <v:textbox inset="3mm,3mm,3mm,3mm">
                  <w:txbxContent>
                    <w:p w14:paraId="7AC95292" w14:textId="77777777" w:rsidR="00BD7B5A" w:rsidRPr="005A44FF" w:rsidRDefault="00BD7B5A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BD7B5A" w:rsidRPr="005A44FF" w:rsidRDefault="00BD7B5A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BD7B5A" w:rsidRPr="003D3951" w:rsidRDefault="00BD7B5A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BD7B5A" w:rsidRPr="005A44FF" w:rsidRDefault="00BD7B5A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BD7B5A" w:rsidRPr="005A44FF" w:rsidRDefault="00BD7B5A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69EB82FC" w14:textId="3559271E" w:rsidR="00BD7B5A" w:rsidRPr="005A44FF" w:rsidRDefault="00B83E9D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monika.</w:t>
                      </w:r>
                      <w:r w:rsidR="00BD7B5A" w:rsidRPr="005A44FF">
                        <w:rPr>
                          <w:rFonts w:cs="Arial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szCs w:val="18"/>
                        </w:rPr>
                        <w:t>cbaonline</w:t>
                      </w:r>
                      <w:r w:rsidR="00BD7B5A" w:rsidRPr="005A44FF">
                        <w:rPr>
                          <w:rFonts w:cs="Arial"/>
                          <w:szCs w:val="18"/>
                        </w:rPr>
                        <w:t>.cz</w:t>
                      </w:r>
                    </w:p>
                    <w:p w14:paraId="0B0CE061" w14:textId="77777777" w:rsidR="00BD7B5A" w:rsidRPr="005A44FF" w:rsidRDefault="00BD7B5A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BD7B5A" w:rsidRDefault="00BD7B5A" w:rsidP="00044002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615B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028F67A9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4111625" cy="1637665"/>
                <wp:effectExtent l="0" t="0" r="3175" b="635"/>
                <wp:wrapSquare wrapText="bothSides"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625" cy="163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BD7B5A" w:rsidRPr="005A44FF" w:rsidRDefault="00BD7B5A" w:rsidP="0004400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1016BFB3" w:rsidR="00BD7B5A" w:rsidRPr="00F67E6A" w:rsidRDefault="00BD7B5A" w:rsidP="00044002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3D3951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B83E9D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28" style="position:absolute;left:0;text-align:left;margin-left:0;margin-top:17.9pt;width:323.75pt;height:128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" fillcolor="#bfbfbf [2412]" stroked="f" strokeweight="1pt">
                <v:textbox inset="3mm,3mm,3mm,3mm">
                  <w:txbxContent>
                    <w:p w14:paraId="4C1160DE" w14:textId="77777777" w:rsidR="00BD7B5A" w:rsidRPr="005A44FF" w:rsidRDefault="00BD7B5A" w:rsidP="00044002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14:paraId="51BDEFCD" w14:textId="1016BFB3" w:rsidR="00BD7B5A" w:rsidRPr="00F67E6A" w:rsidRDefault="00BD7B5A" w:rsidP="00044002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3D3951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B83E9D">
                        <w:rPr>
                          <w:rFonts w:cs="Arial"/>
                          <w:szCs w:val="18"/>
                        </w:rPr>
                        <w:t>40</w:t>
                      </w:r>
                      <w:r w:rsidRPr="003D3951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5C1943" w:rsidRPr="00517111" w:rsidSect="00D36FE1">
      <w:headerReference w:type="default" r:id="rId8"/>
      <w:footerReference w:type="default" r:id="rId9"/>
      <w:pgSz w:w="11906" w:h="16838"/>
      <w:pgMar w:top="2552" w:right="851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1FB3C" w14:textId="77777777" w:rsidR="009D73C5" w:rsidRDefault="009D73C5" w:rsidP="00F573F1">
      <w:r>
        <w:separator/>
      </w:r>
    </w:p>
  </w:endnote>
  <w:endnote w:type="continuationSeparator" w:id="0">
    <w:p w14:paraId="676265B3" w14:textId="77777777" w:rsidR="009D73C5" w:rsidRDefault="009D73C5" w:rsidP="00F573F1">
      <w:r>
        <w:continuationSeparator/>
      </w:r>
    </w:p>
  </w:endnote>
  <w:endnote w:type="continuationNotice" w:id="1">
    <w:p w14:paraId="0A78A23A" w14:textId="77777777" w:rsidR="009D73C5" w:rsidRDefault="009D7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-915778797"/>
      <w:docPartObj>
        <w:docPartGallery w:val="Page Numbers (Bottom of Page)"/>
        <w:docPartUnique/>
      </w:docPartObj>
    </w:sdtPr>
    <w:sdtEndPr/>
    <w:sdtContent>
      <w:p w14:paraId="13CE44BD" w14:textId="77777777" w:rsidR="00BD7B5A" w:rsidRPr="00FB4A1C" w:rsidRDefault="00BD7B5A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2F6016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BD7B5A" w:rsidRPr="00FB4A1C" w:rsidRDefault="00BD7B5A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F8E67" w14:textId="77777777" w:rsidR="009D73C5" w:rsidRDefault="009D73C5" w:rsidP="00F573F1">
      <w:r>
        <w:separator/>
      </w:r>
    </w:p>
  </w:footnote>
  <w:footnote w:type="continuationSeparator" w:id="0">
    <w:p w14:paraId="3D9967B9" w14:textId="77777777" w:rsidR="009D73C5" w:rsidRDefault="009D73C5" w:rsidP="00F573F1">
      <w:r>
        <w:continuationSeparator/>
      </w:r>
    </w:p>
  </w:footnote>
  <w:footnote w:type="continuationNotice" w:id="1">
    <w:p w14:paraId="769F1E14" w14:textId="77777777" w:rsidR="009D73C5" w:rsidRDefault="009D73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06E3" w14:textId="52D82906" w:rsidR="00BD7B5A" w:rsidRDefault="00BD7B5A">
    <w:pPr>
      <w:pStyle w:val="Zhlav"/>
    </w:pPr>
    <w:r w:rsidRPr="00F615BD"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8A7"/>
    <w:multiLevelType w:val="hybridMultilevel"/>
    <w:tmpl w:val="ADD42E08"/>
    <w:lvl w:ilvl="0" w:tplc="9B0CB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C4DCE"/>
    <w:multiLevelType w:val="hybridMultilevel"/>
    <w:tmpl w:val="D4D47A08"/>
    <w:lvl w:ilvl="0" w:tplc="F062A1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6F60"/>
    <w:multiLevelType w:val="hybridMultilevel"/>
    <w:tmpl w:val="3232EEBE"/>
    <w:lvl w:ilvl="0" w:tplc="491E8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7BCF"/>
    <w:multiLevelType w:val="hybridMultilevel"/>
    <w:tmpl w:val="3554269C"/>
    <w:lvl w:ilvl="0" w:tplc="F52C1D1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F41FF"/>
    <w:multiLevelType w:val="hybridMultilevel"/>
    <w:tmpl w:val="06ECF1A8"/>
    <w:lvl w:ilvl="0" w:tplc="72161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9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4D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1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44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EB5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2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68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A8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F3628E"/>
    <w:multiLevelType w:val="hybridMultilevel"/>
    <w:tmpl w:val="771602E6"/>
    <w:lvl w:ilvl="0" w:tplc="30548F9A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3A7"/>
    <w:multiLevelType w:val="hybridMultilevel"/>
    <w:tmpl w:val="F904BEEC"/>
    <w:lvl w:ilvl="0" w:tplc="E0A2536E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26451B"/>
    <w:multiLevelType w:val="hybridMultilevel"/>
    <w:tmpl w:val="C1DEF65C"/>
    <w:lvl w:ilvl="0" w:tplc="0E7285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943"/>
    <w:rsid w:val="00006087"/>
    <w:rsid w:val="00017461"/>
    <w:rsid w:val="00023000"/>
    <w:rsid w:val="000349D8"/>
    <w:rsid w:val="000419CA"/>
    <w:rsid w:val="00044002"/>
    <w:rsid w:val="00055376"/>
    <w:rsid w:val="00062A8A"/>
    <w:rsid w:val="00066333"/>
    <w:rsid w:val="0007096D"/>
    <w:rsid w:val="000766D5"/>
    <w:rsid w:val="00082E1D"/>
    <w:rsid w:val="00087849"/>
    <w:rsid w:val="00092ACE"/>
    <w:rsid w:val="00097B97"/>
    <w:rsid w:val="000A086B"/>
    <w:rsid w:val="000A1EA1"/>
    <w:rsid w:val="000A337A"/>
    <w:rsid w:val="000B4814"/>
    <w:rsid w:val="000C1155"/>
    <w:rsid w:val="000C552C"/>
    <w:rsid w:val="000D1977"/>
    <w:rsid w:val="000D5D2B"/>
    <w:rsid w:val="000E1DF8"/>
    <w:rsid w:val="000E3A69"/>
    <w:rsid w:val="000F34A7"/>
    <w:rsid w:val="000F790F"/>
    <w:rsid w:val="00100B73"/>
    <w:rsid w:val="00105C84"/>
    <w:rsid w:val="0011443F"/>
    <w:rsid w:val="00115379"/>
    <w:rsid w:val="00115462"/>
    <w:rsid w:val="00125474"/>
    <w:rsid w:val="001262D3"/>
    <w:rsid w:val="00142FD3"/>
    <w:rsid w:val="00147E43"/>
    <w:rsid w:val="00153D1F"/>
    <w:rsid w:val="00156EF2"/>
    <w:rsid w:val="00186E9F"/>
    <w:rsid w:val="00190861"/>
    <w:rsid w:val="001914C2"/>
    <w:rsid w:val="00195C6D"/>
    <w:rsid w:val="001960B2"/>
    <w:rsid w:val="0019764B"/>
    <w:rsid w:val="001B69C3"/>
    <w:rsid w:val="001C0DF4"/>
    <w:rsid w:val="001C297A"/>
    <w:rsid w:val="001C7F27"/>
    <w:rsid w:val="001D5BB9"/>
    <w:rsid w:val="001E4A94"/>
    <w:rsid w:val="001E6405"/>
    <w:rsid w:val="00224F0E"/>
    <w:rsid w:val="002401B0"/>
    <w:rsid w:val="00245099"/>
    <w:rsid w:val="00251963"/>
    <w:rsid w:val="002624E9"/>
    <w:rsid w:val="00263F96"/>
    <w:rsid w:val="00267ACA"/>
    <w:rsid w:val="0027402B"/>
    <w:rsid w:val="002878FD"/>
    <w:rsid w:val="002B273C"/>
    <w:rsid w:val="002B3725"/>
    <w:rsid w:val="002D12BD"/>
    <w:rsid w:val="002D1376"/>
    <w:rsid w:val="002D6B03"/>
    <w:rsid w:val="002E1078"/>
    <w:rsid w:val="002E732D"/>
    <w:rsid w:val="002F477C"/>
    <w:rsid w:val="002F6016"/>
    <w:rsid w:val="00302451"/>
    <w:rsid w:val="00302716"/>
    <w:rsid w:val="00316A23"/>
    <w:rsid w:val="00320075"/>
    <w:rsid w:val="00320A31"/>
    <w:rsid w:val="00327407"/>
    <w:rsid w:val="00327E59"/>
    <w:rsid w:val="003305B2"/>
    <w:rsid w:val="00337931"/>
    <w:rsid w:val="003401BC"/>
    <w:rsid w:val="00343CB8"/>
    <w:rsid w:val="0035571B"/>
    <w:rsid w:val="00356262"/>
    <w:rsid w:val="00360F61"/>
    <w:rsid w:val="0036442C"/>
    <w:rsid w:val="003654CD"/>
    <w:rsid w:val="003668D4"/>
    <w:rsid w:val="00367F9E"/>
    <w:rsid w:val="00370F35"/>
    <w:rsid w:val="003713E7"/>
    <w:rsid w:val="003727EB"/>
    <w:rsid w:val="00373D9D"/>
    <w:rsid w:val="00380C99"/>
    <w:rsid w:val="00391FA6"/>
    <w:rsid w:val="003947A8"/>
    <w:rsid w:val="003952ED"/>
    <w:rsid w:val="003A5DED"/>
    <w:rsid w:val="003C3D7F"/>
    <w:rsid w:val="003D104A"/>
    <w:rsid w:val="003D14D7"/>
    <w:rsid w:val="003D5446"/>
    <w:rsid w:val="003E31EA"/>
    <w:rsid w:val="003E3DCB"/>
    <w:rsid w:val="003F1CB9"/>
    <w:rsid w:val="003F2B91"/>
    <w:rsid w:val="003F7F31"/>
    <w:rsid w:val="0040072F"/>
    <w:rsid w:val="00401322"/>
    <w:rsid w:val="00402738"/>
    <w:rsid w:val="00405C26"/>
    <w:rsid w:val="00416028"/>
    <w:rsid w:val="00416A62"/>
    <w:rsid w:val="00420888"/>
    <w:rsid w:val="0042113A"/>
    <w:rsid w:val="00437589"/>
    <w:rsid w:val="004475DD"/>
    <w:rsid w:val="00453E1C"/>
    <w:rsid w:val="00476BD0"/>
    <w:rsid w:val="0049113D"/>
    <w:rsid w:val="0049605B"/>
    <w:rsid w:val="004A1724"/>
    <w:rsid w:val="004A7ABD"/>
    <w:rsid w:val="004A7D28"/>
    <w:rsid w:val="004C389E"/>
    <w:rsid w:val="004D5EDF"/>
    <w:rsid w:val="004D63E3"/>
    <w:rsid w:val="004E1AC6"/>
    <w:rsid w:val="004E6615"/>
    <w:rsid w:val="004F1275"/>
    <w:rsid w:val="005044E1"/>
    <w:rsid w:val="00505850"/>
    <w:rsid w:val="00506DF1"/>
    <w:rsid w:val="00517111"/>
    <w:rsid w:val="00520AEA"/>
    <w:rsid w:val="00520C82"/>
    <w:rsid w:val="00521B07"/>
    <w:rsid w:val="00527304"/>
    <w:rsid w:val="00527C61"/>
    <w:rsid w:val="005354AE"/>
    <w:rsid w:val="00537515"/>
    <w:rsid w:val="00545533"/>
    <w:rsid w:val="00553FBC"/>
    <w:rsid w:val="00555B91"/>
    <w:rsid w:val="00562D02"/>
    <w:rsid w:val="005642DD"/>
    <w:rsid w:val="00576028"/>
    <w:rsid w:val="00577677"/>
    <w:rsid w:val="005954B4"/>
    <w:rsid w:val="00595CAD"/>
    <w:rsid w:val="005A2501"/>
    <w:rsid w:val="005A2AF1"/>
    <w:rsid w:val="005A44FF"/>
    <w:rsid w:val="005A7A4D"/>
    <w:rsid w:val="005C1943"/>
    <w:rsid w:val="005C60BB"/>
    <w:rsid w:val="005C6A0D"/>
    <w:rsid w:val="005C6D52"/>
    <w:rsid w:val="005C6DB6"/>
    <w:rsid w:val="005D0910"/>
    <w:rsid w:val="005D42A6"/>
    <w:rsid w:val="005E58E1"/>
    <w:rsid w:val="005E5B24"/>
    <w:rsid w:val="005F0A8A"/>
    <w:rsid w:val="00603141"/>
    <w:rsid w:val="00604274"/>
    <w:rsid w:val="0060552B"/>
    <w:rsid w:val="00611C5C"/>
    <w:rsid w:val="00614E76"/>
    <w:rsid w:val="00626065"/>
    <w:rsid w:val="00626382"/>
    <w:rsid w:val="00634862"/>
    <w:rsid w:val="00640878"/>
    <w:rsid w:val="006454CC"/>
    <w:rsid w:val="0064668C"/>
    <w:rsid w:val="006478ED"/>
    <w:rsid w:val="00653FBB"/>
    <w:rsid w:val="0065675B"/>
    <w:rsid w:val="00660A8C"/>
    <w:rsid w:val="006642E5"/>
    <w:rsid w:val="0066436B"/>
    <w:rsid w:val="006669D1"/>
    <w:rsid w:val="00667BA1"/>
    <w:rsid w:val="0067027E"/>
    <w:rsid w:val="0067201E"/>
    <w:rsid w:val="00675D0C"/>
    <w:rsid w:val="00683E88"/>
    <w:rsid w:val="006952F0"/>
    <w:rsid w:val="006963D2"/>
    <w:rsid w:val="006A54C3"/>
    <w:rsid w:val="006A5DB5"/>
    <w:rsid w:val="006B03F0"/>
    <w:rsid w:val="006B19D1"/>
    <w:rsid w:val="006B2ADD"/>
    <w:rsid w:val="006B2F86"/>
    <w:rsid w:val="006B60A6"/>
    <w:rsid w:val="006B7DE5"/>
    <w:rsid w:val="006C3AF8"/>
    <w:rsid w:val="006C4385"/>
    <w:rsid w:val="006C6CFF"/>
    <w:rsid w:val="006C6D8D"/>
    <w:rsid w:val="006C6DCB"/>
    <w:rsid w:val="006D23EF"/>
    <w:rsid w:val="006D3D9F"/>
    <w:rsid w:val="006D7467"/>
    <w:rsid w:val="006D74B0"/>
    <w:rsid w:val="006E0634"/>
    <w:rsid w:val="006E0DB3"/>
    <w:rsid w:val="006E18EC"/>
    <w:rsid w:val="006E1DBB"/>
    <w:rsid w:val="006E335A"/>
    <w:rsid w:val="006F0636"/>
    <w:rsid w:val="00700BFA"/>
    <w:rsid w:val="007075B3"/>
    <w:rsid w:val="00710350"/>
    <w:rsid w:val="00730B38"/>
    <w:rsid w:val="00734471"/>
    <w:rsid w:val="00742303"/>
    <w:rsid w:val="00742971"/>
    <w:rsid w:val="00744504"/>
    <w:rsid w:val="00746582"/>
    <w:rsid w:val="00747C2E"/>
    <w:rsid w:val="00754744"/>
    <w:rsid w:val="00755B46"/>
    <w:rsid w:val="00757E86"/>
    <w:rsid w:val="00761A85"/>
    <w:rsid w:val="00761C3F"/>
    <w:rsid w:val="0076384E"/>
    <w:rsid w:val="007725F7"/>
    <w:rsid w:val="00772E8C"/>
    <w:rsid w:val="007B02A8"/>
    <w:rsid w:val="007C2872"/>
    <w:rsid w:val="007C2F0D"/>
    <w:rsid w:val="007C4C83"/>
    <w:rsid w:val="007C64E9"/>
    <w:rsid w:val="007D4025"/>
    <w:rsid w:val="007D52B7"/>
    <w:rsid w:val="007D666C"/>
    <w:rsid w:val="007D6C66"/>
    <w:rsid w:val="007E0BF1"/>
    <w:rsid w:val="007E4E82"/>
    <w:rsid w:val="007F16CA"/>
    <w:rsid w:val="007F40D6"/>
    <w:rsid w:val="007F6300"/>
    <w:rsid w:val="00801132"/>
    <w:rsid w:val="00803E55"/>
    <w:rsid w:val="0080505A"/>
    <w:rsid w:val="00807F85"/>
    <w:rsid w:val="00811FE2"/>
    <w:rsid w:val="008315F2"/>
    <w:rsid w:val="00833844"/>
    <w:rsid w:val="008404DA"/>
    <w:rsid w:val="00847E22"/>
    <w:rsid w:val="00854190"/>
    <w:rsid w:val="00856019"/>
    <w:rsid w:val="00864495"/>
    <w:rsid w:val="00864AC0"/>
    <w:rsid w:val="008667B0"/>
    <w:rsid w:val="00870102"/>
    <w:rsid w:val="008722D9"/>
    <w:rsid w:val="00872847"/>
    <w:rsid w:val="00882583"/>
    <w:rsid w:val="0088279B"/>
    <w:rsid w:val="008857AA"/>
    <w:rsid w:val="00893FAA"/>
    <w:rsid w:val="00897332"/>
    <w:rsid w:val="008B3232"/>
    <w:rsid w:val="008B6D55"/>
    <w:rsid w:val="008C3B72"/>
    <w:rsid w:val="008C5FB5"/>
    <w:rsid w:val="008D0F71"/>
    <w:rsid w:val="008D5313"/>
    <w:rsid w:val="008D576F"/>
    <w:rsid w:val="008E265E"/>
    <w:rsid w:val="008F11D5"/>
    <w:rsid w:val="009065D8"/>
    <w:rsid w:val="009139AF"/>
    <w:rsid w:val="00915CEC"/>
    <w:rsid w:val="009430BD"/>
    <w:rsid w:val="00944D10"/>
    <w:rsid w:val="00950AD8"/>
    <w:rsid w:val="0095568B"/>
    <w:rsid w:val="00977317"/>
    <w:rsid w:val="009A4D08"/>
    <w:rsid w:val="009A5048"/>
    <w:rsid w:val="009A6092"/>
    <w:rsid w:val="009B7D7F"/>
    <w:rsid w:val="009C181E"/>
    <w:rsid w:val="009C63C2"/>
    <w:rsid w:val="009D5E6C"/>
    <w:rsid w:val="009D73C5"/>
    <w:rsid w:val="009F569C"/>
    <w:rsid w:val="00A00BF5"/>
    <w:rsid w:val="00A020B8"/>
    <w:rsid w:val="00A02527"/>
    <w:rsid w:val="00A07E80"/>
    <w:rsid w:val="00A10A9C"/>
    <w:rsid w:val="00A144A3"/>
    <w:rsid w:val="00A2430B"/>
    <w:rsid w:val="00A257D9"/>
    <w:rsid w:val="00A2750F"/>
    <w:rsid w:val="00A41BA7"/>
    <w:rsid w:val="00A42EAA"/>
    <w:rsid w:val="00A43387"/>
    <w:rsid w:val="00A4779D"/>
    <w:rsid w:val="00A6286E"/>
    <w:rsid w:val="00A64535"/>
    <w:rsid w:val="00A7019E"/>
    <w:rsid w:val="00A7149F"/>
    <w:rsid w:val="00A71A8B"/>
    <w:rsid w:val="00A71F9A"/>
    <w:rsid w:val="00A73218"/>
    <w:rsid w:val="00A732A1"/>
    <w:rsid w:val="00A8750A"/>
    <w:rsid w:val="00A90878"/>
    <w:rsid w:val="00AA1435"/>
    <w:rsid w:val="00AA24D9"/>
    <w:rsid w:val="00AA2604"/>
    <w:rsid w:val="00AA6453"/>
    <w:rsid w:val="00AA66C1"/>
    <w:rsid w:val="00AC1037"/>
    <w:rsid w:val="00AC57E5"/>
    <w:rsid w:val="00AE125F"/>
    <w:rsid w:val="00AE3164"/>
    <w:rsid w:val="00AE69C7"/>
    <w:rsid w:val="00AF11ED"/>
    <w:rsid w:val="00AF4DF3"/>
    <w:rsid w:val="00B03E8F"/>
    <w:rsid w:val="00B04775"/>
    <w:rsid w:val="00B067AB"/>
    <w:rsid w:val="00B06E15"/>
    <w:rsid w:val="00B16F18"/>
    <w:rsid w:val="00B25E96"/>
    <w:rsid w:val="00B2720B"/>
    <w:rsid w:val="00B27646"/>
    <w:rsid w:val="00B3003D"/>
    <w:rsid w:val="00B445A6"/>
    <w:rsid w:val="00B447B3"/>
    <w:rsid w:val="00B4716E"/>
    <w:rsid w:val="00B506AC"/>
    <w:rsid w:val="00B76371"/>
    <w:rsid w:val="00B83E9D"/>
    <w:rsid w:val="00B95673"/>
    <w:rsid w:val="00B97579"/>
    <w:rsid w:val="00B97D6A"/>
    <w:rsid w:val="00BC0374"/>
    <w:rsid w:val="00BC15D2"/>
    <w:rsid w:val="00BC61FC"/>
    <w:rsid w:val="00BD51B7"/>
    <w:rsid w:val="00BD64FB"/>
    <w:rsid w:val="00BD7B5A"/>
    <w:rsid w:val="00BF0D5A"/>
    <w:rsid w:val="00BF48A4"/>
    <w:rsid w:val="00BF58BD"/>
    <w:rsid w:val="00BF73F4"/>
    <w:rsid w:val="00C01CB1"/>
    <w:rsid w:val="00C17244"/>
    <w:rsid w:val="00C253FE"/>
    <w:rsid w:val="00C31BC2"/>
    <w:rsid w:val="00C33B31"/>
    <w:rsid w:val="00C50104"/>
    <w:rsid w:val="00C552C2"/>
    <w:rsid w:val="00C617BE"/>
    <w:rsid w:val="00C66678"/>
    <w:rsid w:val="00C66EF2"/>
    <w:rsid w:val="00C7383D"/>
    <w:rsid w:val="00C74048"/>
    <w:rsid w:val="00C93158"/>
    <w:rsid w:val="00C94DCE"/>
    <w:rsid w:val="00C975C9"/>
    <w:rsid w:val="00C97815"/>
    <w:rsid w:val="00CA6B72"/>
    <w:rsid w:val="00CA7866"/>
    <w:rsid w:val="00CB3A76"/>
    <w:rsid w:val="00CB6D21"/>
    <w:rsid w:val="00CB6EC2"/>
    <w:rsid w:val="00CB79A1"/>
    <w:rsid w:val="00CC7510"/>
    <w:rsid w:val="00CD149B"/>
    <w:rsid w:val="00CD214E"/>
    <w:rsid w:val="00CD7450"/>
    <w:rsid w:val="00CE0212"/>
    <w:rsid w:val="00CE1014"/>
    <w:rsid w:val="00CE6DF9"/>
    <w:rsid w:val="00CF04CA"/>
    <w:rsid w:val="00D03EA1"/>
    <w:rsid w:val="00D04BC7"/>
    <w:rsid w:val="00D10717"/>
    <w:rsid w:val="00D13645"/>
    <w:rsid w:val="00D157A4"/>
    <w:rsid w:val="00D17D09"/>
    <w:rsid w:val="00D20916"/>
    <w:rsid w:val="00D2261D"/>
    <w:rsid w:val="00D236FC"/>
    <w:rsid w:val="00D36FE1"/>
    <w:rsid w:val="00D45BA3"/>
    <w:rsid w:val="00D47140"/>
    <w:rsid w:val="00D520B2"/>
    <w:rsid w:val="00D57204"/>
    <w:rsid w:val="00D61603"/>
    <w:rsid w:val="00D7105D"/>
    <w:rsid w:val="00D73A84"/>
    <w:rsid w:val="00D7566D"/>
    <w:rsid w:val="00D77C73"/>
    <w:rsid w:val="00D87B97"/>
    <w:rsid w:val="00D91982"/>
    <w:rsid w:val="00D97A26"/>
    <w:rsid w:val="00D97E49"/>
    <w:rsid w:val="00DA4328"/>
    <w:rsid w:val="00DB4EAB"/>
    <w:rsid w:val="00DC328A"/>
    <w:rsid w:val="00DC4924"/>
    <w:rsid w:val="00DD5178"/>
    <w:rsid w:val="00DE3055"/>
    <w:rsid w:val="00DE70AE"/>
    <w:rsid w:val="00E00EC4"/>
    <w:rsid w:val="00E0427D"/>
    <w:rsid w:val="00E07861"/>
    <w:rsid w:val="00E10053"/>
    <w:rsid w:val="00E10472"/>
    <w:rsid w:val="00E22F3F"/>
    <w:rsid w:val="00E23E0B"/>
    <w:rsid w:val="00E23F00"/>
    <w:rsid w:val="00E3317B"/>
    <w:rsid w:val="00E3386F"/>
    <w:rsid w:val="00E3424D"/>
    <w:rsid w:val="00E52EE1"/>
    <w:rsid w:val="00E77101"/>
    <w:rsid w:val="00E77EE7"/>
    <w:rsid w:val="00E8787F"/>
    <w:rsid w:val="00E92D8C"/>
    <w:rsid w:val="00EA05BA"/>
    <w:rsid w:val="00EA6FE9"/>
    <w:rsid w:val="00EB2C64"/>
    <w:rsid w:val="00EB2F2C"/>
    <w:rsid w:val="00EB36AD"/>
    <w:rsid w:val="00EB62D7"/>
    <w:rsid w:val="00ED2F8C"/>
    <w:rsid w:val="00ED452D"/>
    <w:rsid w:val="00EF0D43"/>
    <w:rsid w:val="00F14133"/>
    <w:rsid w:val="00F20F0C"/>
    <w:rsid w:val="00F32F3A"/>
    <w:rsid w:val="00F35ABF"/>
    <w:rsid w:val="00F43D1E"/>
    <w:rsid w:val="00F464BF"/>
    <w:rsid w:val="00F46BA9"/>
    <w:rsid w:val="00F52243"/>
    <w:rsid w:val="00F52FD1"/>
    <w:rsid w:val="00F54329"/>
    <w:rsid w:val="00F545AC"/>
    <w:rsid w:val="00F56999"/>
    <w:rsid w:val="00F573F1"/>
    <w:rsid w:val="00F615BD"/>
    <w:rsid w:val="00F6767A"/>
    <w:rsid w:val="00F67E6A"/>
    <w:rsid w:val="00F860F7"/>
    <w:rsid w:val="00FA3413"/>
    <w:rsid w:val="00FA7186"/>
    <w:rsid w:val="00FB115F"/>
    <w:rsid w:val="00FB4A1C"/>
    <w:rsid w:val="00FB504D"/>
    <w:rsid w:val="00FB5CD9"/>
    <w:rsid w:val="00FB6924"/>
    <w:rsid w:val="00FD12DB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3594D"/>
  <w15:docId w15:val="{7B56F003-9BD4-4354-A75E-4AA95D6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4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50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50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50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E1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47C2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45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45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6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51DF-37D4-44EC-A9A2-7664FEDA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2649</Words>
  <Characters>15635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vlachova</dc:creator>
  <cp:lastModifiedBy>Andrea Trudičová</cp:lastModifiedBy>
  <cp:revision>5</cp:revision>
  <cp:lastPrinted>2020-10-26T10:01:00Z</cp:lastPrinted>
  <dcterms:created xsi:type="dcterms:W3CDTF">2020-10-28T10:59:00Z</dcterms:created>
  <dcterms:modified xsi:type="dcterms:W3CDTF">2020-10-29T07:26:00Z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Pavel.Sobisek@unicreditgroup.cz</vt:lpwstr>
  </property>
  <property fmtid="{D5CDD505-2E9C-101B-9397-08002B2CF9AE}" pid="5" name="MSIP_Label_390254f4-34d0-49c5-b888-af4abf762ef7_SetDate">
    <vt:lpwstr>2020-01-15T16:11:29.8787231Z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43f3763f-d3c6-435c-ae50-a4a40081b5fb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faa92781-1fcb-4da3-a1a2-e534c28a25f3_Enabled">
    <vt:lpwstr>True</vt:lpwstr>
  </property>
  <property fmtid="{D5CDD505-2E9C-101B-9397-08002B2CF9AE}" pid="11" name="MSIP_Label_faa92781-1fcb-4da3-a1a2-e534c28a25f3_SiteId">
    <vt:lpwstr>2cc49ce9-66a1-41ac-a96b-bdc54247696a</vt:lpwstr>
  </property>
  <property fmtid="{D5CDD505-2E9C-101B-9397-08002B2CF9AE}" pid="12" name="MSIP_Label_faa92781-1fcb-4da3-a1a2-e534c28a25f3_Owner">
    <vt:lpwstr>Pavel.Sobisek@unicreditgroup.cz</vt:lpwstr>
  </property>
  <property fmtid="{D5CDD505-2E9C-101B-9397-08002B2CF9AE}" pid="13" name="MSIP_Label_faa92781-1fcb-4da3-a1a2-e534c28a25f3_SetDate">
    <vt:lpwstr>2020-01-15T16:11:29.8787231Z</vt:lpwstr>
  </property>
  <property fmtid="{D5CDD505-2E9C-101B-9397-08002B2CF9AE}" pid="14" name="MSIP_Label_faa92781-1fcb-4da3-a1a2-e534c28a25f3_Name">
    <vt:lpwstr>in UniCredit Group - no visual markings</vt:lpwstr>
  </property>
  <property fmtid="{D5CDD505-2E9C-101B-9397-08002B2CF9AE}" pid="15" name="MSIP_Label_faa92781-1fcb-4da3-a1a2-e534c28a25f3_Application">
    <vt:lpwstr>Microsoft Azure Information Protection</vt:lpwstr>
  </property>
  <property fmtid="{D5CDD505-2E9C-101B-9397-08002B2CF9AE}" pid="16" name="MSIP_Label_faa92781-1fcb-4da3-a1a2-e534c28a25f3_ActionId">
    <vt:lpwstr>43f3763f-d3c6-435c-ae50-a4a40081b5fb</vt:lpwstr>
  </property>
  <property fmtid="{D5CDD505-2E9C-101B-9397-08002B2CF9AE}" pid="17" name="MSIP_Label_faa92781-1fcb-4da3-a1a2-e534c28a25f3_Parent">
    <vt:lpwstr>390254f4-34d0-49c5-b888-af4abf762ef7</vt:lpwstr>
  </property>
  <property fmtid="{D5CDD505-2E9C-101B-9397-08002B2CF9AE}" pid="18" name="MSIP_Label_faa92781-1fcb-4da3-a1a2-e534c28a25f3_Extended_MSFT_Method">
    <vt:lpwstr>Automatic</vt:lpwstr>
  </property>
  <property fmtid="{D5CDD505-2E9C-101B-9397-08002B2CF9AE}" pid="19" name="Sensitivity">
    <vt:lpwstr>Internal Use Only in UniCredit Group - no visual markings</vt:lpwstr>
  </property>
  <property fmtid="{D5CDD505-2E9C-101B-9397-08002B2CF9AE}" pid="20" name="MSIP_Label_2b3a104e-2916-42dc-a2f6-6210338509ed_Enabled">
    <vt:lpwstr>True</vt:lpwstr>
  </property>
  <property fmtid="{D5CDD505-2E9C-101B-9397-08002B2CF9AE}" pid="21" name="MSIP_Label_2b3a104e-2916-42dc-a2f6-6210338509ed_SiteId">
    <vt:lpwstr>e70aafb3-2e89-46a5-ba50-66803e8a4411</vt:lpwstr>
  </property>
  <property fmtid="{D5CDD505-2E9C-101B-9397-08002B2CF9AE}" pid="22" name="MSIP_Label_2b3a104e-2916-42dc-a2f6-6210338509ed_Owner">
    <vt:lpwstr>cen87316@csin.cz</vt:lpwstr>
  </property>
  <property fmtid="{D5CDD505-2E9C-101B-9397-08002B2CF9AE}" pid="23" name="MSIP_Label_2b3a104e-2916-42dc-a2f6-6210338509ed_SetDate">
    <vt:lpwstr>2020-01-17T08:10:02.3455520Z</vt:lpwstr>
  </property>
  <property fmtid="{D5CDD505-2E9C-101B-9397-08002B2CF9AE}" pid="24" name="MSIP_Label_2b3a104e-2916-42dc-a2f6-6210338509ed_Name">
    <vt:lpwstr>CS Internal</vt:lpwstr>
  </property>
  <property fmtid="{D5CDD505-2E9C-101B-9397-08002B2CF9AE}" pid="25" name="MSIP_Label_2b3a104e-2916-42dc-a2f6-6210338509ed_Application">
    <vt:lpwstr>Microsoft Azure Information Protection</vt:lpwstr>
  </property>
  <property fmtid="{D5CDD505-2E9C-101B-9397-08002B2CF9AE}" pid="26" name="MSIP_Label_2b3a104e-2916-42dc-a2f6-6210338509ed_ActionId">
    <vt:lpwstr>60b9ebe4-46ae-459c-bf59-6a05f328379e</vt:lpwstr>
  </property>
  <property fmtid="{D5CDD505-2E9C-101B-9397-08002B2CF9AE}" pid="27" name="MSIP_Label_2b3a104e-2916-42dc-a2f6-6210338509ed_Extended_MSFT_Method">
    <vt:lpwstr>Automatic</vt:lpwstr>
  </property>
</Properties>
</file>