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2E1E0" w14:textId="75606DFE" w:rsidR="009139AF" w:rsidRPr="00DA2C19" w:rsidRDefault="009139AF" w:rsidP="009139AF">
      <w:pPr>
        <w:rPr>
          <w:rFonts w:cs="Arial"/>
          <w:b/>
          <w:color w:val="007E79"/>
          <w:sz w:val="32"/>
          <w:szCs w:val="28"/>
        </w:rPr>
      </w:pPr>
      <w:r w:rsidRPr="00DA2C19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8A52E74" wp14:editId="0BBDBD55">
                <wp:simplePos x="0" y="0"/>
                <wp:positionH relativeFrom="margin">
                  <wp:posOffset>5181600</wp:posOffset>
                </wp:positionH>
                <wp:positionV relativeFrom="paragraph">
                  <wp:posOffset>-944245</wp:posOffset>
                </wp:positionV>
                <wp:extent cx="1239520" cy="1404620"/>
                <wp:effectExtent l="0" t="0" r="0" b="0"/>
                <wp:wrapNone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A89A6" w14:textId="77777777" w:rsidR="00517111" w:rsidRDefault="00517111" w:rsidP="00517111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 w:rsidRPr="00517111">
                              <w:rPr>
                                <w:b/>
                                <w:color w:val="13576B"/>
                              </w:rPr>
                              <w:t>TISKOVÁ ZPRÁVA</w:t>
                            </w:r>
                            <w:r>
                              <w:rPr>
                                <w:b/>
                                <w:color w:val="13576B"/>
                              </w:rPr>
                              <w:t xml:space="preserve"> </w:t>
                            </w:r>
                          </w:p>
                          <w:p w14:paraId="25BF6333" w14:textId="1AB2E412" w:rsidR="00517111" w:rsidRPr="00517111" w:rsidRDefault="00722A6F" w:rsidP="00517111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0</w:t>
                            </w:r>
                            <w:r w:rsidR="00652C1E">
                              <w:rPr>
                                <w:color w:val="BFBFBF" w:themeColor="background1" w:themeShade="BF"/>
                              </w:rPr>
                              <w:t>6</w:t>
                            </w:r>
                            <w:r w:rsidR="00517111" w:rsidRPr="00517111">
                              <w:rPr>
                                <w:color w:val="BFBFBF" w:themeColor="background1" w:themeShade="BF"/>
                              </w:rPr>
                              <w:t xml:space="preserve">. </w:t>
                            </w:r>
                            <w:r w:rsidR="00267ACA">
                              <w:rPr>
                                <w:color w:val="BFBFBF" w:themeColor="background1" w:themeShade="BF"/>
                              </w:rPr>
                              <w:t>0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3</w:t>
                            </w:r>
                            <w:r w:rsidR="00517111" w:rsidRPr="00517111">
                              <w:rPr>
                                <w:color w:val="BFBFBF" w:themeColor="background1" w:themeShade="BF"/>
                              </w:rPr>
                              <w:t>. 201</w:t>
                            </w:r>
                            <w:r w:rsidR="00267ACA">
                              <w:rPr>
                                <w:color w:val="BFBFBF" w:themeColor="background1" w:themeShade="BF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A52E7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08pt;margin-top:-74.35pt;width:97.6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GYEwIAAPoDAAAOAAAAZHJzL2Uyb0RvYy54bWysU1tu2zAQ/C/QOxD8ryW7dpoIloM0qYsC&#10;6QNIeoA1RVlESS5L0pbcG/UcvViXlOMY7V9RfRCkdnd2ZzhcXg9Gs730QaGt+XRSciatwEbZbc2/&#10;Pq5fXXIWItgGNFpZ84MM/Hr18sWyd5WcYYe6kZ4RiA1V72rexeiqogiikwbCBJ20FGzRG4h09Nui&#10;8dATutHFrCwvih594zwKGQL9vRuDfJXx21aK+Lltg4xM15xmi3n1ed2ktVgtodp6cJ0SxzHgH6Yw&#10;oCw1PUHdQQS28+ovKKOEx4BtnAg0BbatEjJzIDbT8g82Dx04mbmQOMGdZAr/D1Z82n/xTDU1p/6c&#10;WTB0SY9yiLj/9ZM51JLNkki9CxXlPjjKjsNbHOiyM+Hg7lF8C8zibQd2K2+8x76T0NCQ01RZnJWO&#10;OCGBbPqP2FAv2EXMQEPrTVKQNGGETpd1OF0QzcNEajl7fbWYUUhQbDov5xd0SD2geip3PsT3Eg1L&#10;m5p7ckCGh/19iGPqU0rqZnGttKb/UGnL+poT/iIXnEWMimRSrUzNL8v0jbZJLN/ZJhdHUHrc0yza&#10;HmknpiPnOGwGSkxabLA5kAAeRzPS46FNh/4HZz0Zsebh+w685Ex/sCTi1XQ+T87Nh/niTaLvzyOb&#10;8whYQVA1j5yN29uY3Z4IBndDYq9VluF5kuOsZLAs5PExJAefn3PW85Nd/QYAAP//AwBQSwMEFAAG&#10;AAgAAAAhAPvf5AvgAAAADAEAAA8AAABkcnMvZG93bnJldi54bWxMj8tOwzAURPdI/IN1kdi1tiNo&#10;ojROVaG2LIESsXbj2yQifsh20/D3uCtYjmY0c6bazHokE/owWCOALxkQNK1Vg+kENJ/7RQEkRGmU&#10;HK1BAT8YYFPf31WyVPZqPnA6xo6kEhNKKaCP0ZWUhrZHLcPSOjTJO1uvZUzSd1R5eU3leqQZYyuq&#10;5WDSQi8dvvTYfh8vWoCL7pC/+rf37W4/sebr0GRDtxPi8WHeroFEnONfGG74CR3qxHSyF6MCGQUU&#10;fJW+RAEL/lTkQG4RxnkG5CQgz56B1hX9f6L+BQAA//8DAFBLAQItABQABgAIAAAAIQC2gziS/gAA&#10;AOEBAAATAAAAAAAAAAAAAAAAAAAAAABbQ29udGVudF9UeXBlc10ueG1sUEsBAi0AFAAGAAgAAAAh&#10;ADj9If/WAAAAlAEAAAsAAAAAAAAAAAAAAAAALwEAAF9yZWxzLy5yZWxzUEsBAi0AFAAGAAgAAAAh&#10;AKT20ZgTAgAA+gMAAA4AAAAAAAAAAAAAAAAALgIAAGRycy9lMm9Eb2MueG1sUEsBAi0AFAAGAAgA&#10;AAAhAPvf5AvgAAAADAEAAA8AAAAAAAAAAAAAAAAAbQQAAGRycy9kb3ducmV2LnhtbFBLBQYAAAAA&#10;BAAEAPMAAAB6BQAAAAA=&#10;" filled="f" stroked="f">
                <v:textbox style="mso-fit-shape-to-text:t">
                  <w:txbxContent>
                    <w:p w14:paraId="093A89A6" w14:textId="77777777" w:rsidR="00517111" w:rsidRDefault="00517111" w:rsidP="00517111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 w:rsidRPr="00517111">
                        <w:rPr>
                          <w:b/>
                          <w:color w:val="13576B"/>
                        </w:rPr>
                        <w:t>TISKOVÁ ZPRÁVA</w:t>
                      </w:r>
                      <w:r>
                        <w:rPr>
                          <w:b/>
                          <w:color w:val="13576B"/>
                        </w:rPr>
                        <w:t xml:space="preserve"> </w:t>
                      </w:r>
                    </w:p>
                    <w:p w14:paraId="25BF6333" w14:textId="1AB2E412" w:rsidR="00517111" w:rsidRPr="00517111" w:rsidRDefault="00722A6F" w:rsidP="00517111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0</w:t>
                      </w:r>
                      <w:r w:rsidR="00652C1E">
                        <w:rPr>
                          <w:color w:val="BFBFBF" w:themeColor="background1" w:themeShade="BF"/>
                        </w:rPr>
                        <w:t>6</w:t>
                      </w:r>
                      <w:r w:rsidR="00517111" w:rsidRPr="00517111">
                        <w:rPr>
                          <w:color w:val="BFBFBF" w:themeColor="background1" w:themeShade="BF"/>
                        </w:rPr>
                        <w:t xml:space="preserve">. </w:t>
                      </w:r>
                      <w:r w:rsidR="00267ACA">
                        <w:rPr>
                          <w:color w:val="BFBFBF" w:themeColor="background1" w:themeShade="BF"/>
                        </w:rPr>
                        <w:t>0</w:t>
                      </w:r>
                      <w:r>
                        <w:rPr>
                          <w:color w:val="BFBFBF" w:themeColor="background1" w:themeShade="BF"/>
                        </w:rPr>
                        <w:t>3</w:t>
                      </w:r>
                      <w:r w:rsidR="00517111" w:rsidRPr="00517111">
                        <w:rPr>
                          <w:color w:val="BFBFBF" w:themeColor="background1" w:themeShade="BF"/>
                        </w:rPr>
                        <w:t>. 201</w:t>
                      </w:r>
                      <w:r w:rsidR="00267ACA">
                        <w:rPr>
                          <w:color w:val="BFBFBF" w:themeColor="background1" w:themeShade="BF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2C1E" w:rsidRPr="00DA2C19">
        <w:rPr>
          <w:rFonts w:cs="Arial"/>
          <w:b/>
          <w:color w:val="007E79"/>
          <w:sz w:val="32"/>
          <w:szCs w:val="28"/>
        </w:rPr>
        <w:t xml:space="preserve">Zkoušky odbornosti: </w:t>
      </w:r>
      <w:r w:rsidR="00BE3A6F" w:rsidRPr="00DA2C19">
        <w:rPr>
          <w:rFonts w:cs="Arial"/>
          <w:b/>
          <w:color w:val="007E79"/>
          <w:sz w:val="32"/>
          <w:szCs w:val="28"/>
        </w:rPr>
        <w:t>osvědčení</w:t>
      </w:r>
      <w:r w:rsidR="00652C1E" w:rsidRPr="00DA2C19">
        <w:rPr>
          <w:rFonts w:cs="Arial"/>
          <w:b/>
          <w:color w:val="007E79"/>
          <w:sz w:val="32"/>
          <w:szCs w:val="28"/>
        </w:rPr>
        <w:t xml:space="preserve"> získalo </w:t>
      </w:r>
      <w:r w:rsidR="007121DF" w:rsidRPr="00DA2C19">
        <w:rPr>
          <w:rFonts w:cs="Arial"/>
          <w:b/>
          <w:color w:val="007E79"/>
          <w:sz w:val="32"/>
          <w:szCs w:val="28"/>
        </w:rPr>
        <w:t xml:space="preserve">již </w:t>
      </w:r>
      <w:r w:rsidR="00652C1E" w:rsidRPr="00DA2C19">
        <w:rPr>
          <w:rFonts w:cs="Arial"/>
          <w:b/>
          <w:color w:val="007E79"/>
          <w:sz w:val="32"/>
          <w:szCs w:val="28"/>
        </w:rPr>
        <w:t>více než 46 tisíc finančních poradců</w:t>
      </w:r>
      <w:r w:rsidR="002A31A1" w:rsidRPr="00DA2C19">
        <w:rPr>
          <w:rFonts w:cs="Arial"/>
          <w:b/>
          <w:color w:val="007E79"/>
          <w:sz w:val="32"/>
          <w:szCs w:val="28"/>
        </w:rPr>
        <w:t xml:space="preserve"> </w:t>
      </w:r>
      <w:r w:rsidRPr="00DA2C19">
        <w:rPr>
          <w:rFonts w:cs="Arial"/>
          <w:b/>
          <w:color w:val="007E79"/>
          <w:sz w:val="24"/>
          <w:szCs w:val="28"/>
        </w:rPr>
        <w:t xml:space="preserve"> </w:t>
      </w:r>
    </w:p>
    <w:p w14:paraId="4A6E52AD" w14:textId="52FE842A" w:rsidR="009139AF" w:rsidRPr="00905E09" w:rsidRDefault="009139AF" w:rsidP="001D5BB9">
      <w:pPr>
        <w:rPr>
          <w:highlight w:val="yellow"/>
        </w:rPr>
      </w:pPr>
    </w:p>
    <w:p w14:paraId="3C0B80DF" w14:textId="29B7D680" w:rsidR="00711D7C" w:rsidRDefault="009139AF" w:rsidP="005877CB">
      <w:pPr>
        <w:spacing w:after="120" w:line="276" w:lineRule="auto"/>
        <w:rPr>
          <w:rFonts w:cs="Arial"/>
          <w:b/>
          <w:color w:val="007E79"/>
          <w:szCs w:val="22"/>
        </w:rPr>
      </w:pPr>
      <w:r w:rsidRPr="00652C1E">
        <w:rPr>
          <w:rFonts w:cs="Arial"/>
          <w:b/>
          <w:color w:val="007E79"/>
          <w:szCs w:val="22"/>
        </w:rPr>
        <w:t xml:space="preserve">Praha, </w:t>
      </w:r>
      <w:r w:rsidR="00A75CC5" w:rsidRPr="00652C1E">
        <w:rPr>
          <w:rFonts w:cs="Arial"/>
          <w:b/>
          <w:color w:val="007E79"/>
          <w:szCs w:val="22"/>
        </w:rPr>
        <w:t>6</w:t>
      </w:r>
      <w:r w:rsidRPr="00652C1E">
        <w:rPr>
          <w:rFonts w:cs="Arial"/>
          <w:b/>
          <w:color w:val="007E79"/>
          <w:szCs w:val="22"/>
        </w:rPr>
        <w:t xml:space="preserve">. </w:t>
      </w:r>
      <w:r w:rsidR="00722A6F" w:rsidRPr="00652C1E">
        <w:rPr>
          <w:rFonts w:cs="Arial"/>
          <w:b/>
          <w:color w:val="007E79"/>
          <w:szCs w:val="22"/>
        </w:rPr>
        <w:t>března</w:t>
      </w:r>
      <w:r w:rsidRPr="00652C1E">
        <w:rPr>
          <w:rFonts w:cs="Arial"/>
          <w:b/>
          <w:color w:val="007E79"/>
          <w:szCs w:val="22"/>
        </w:rPr>
        <w:t xml:space="preserve"> </w:t>
      </w:r>
      <w:r w:rsidR="008225D7" w:rsidRPr="00652C1E">
        <w:rPr>
          <w:rFonts w:cs="Arial"/>
          <w:b/>
          <w:color w:val="007E79"/>
          <w:szCs w:val="22"/>
        </w:rPr>
        <w:t xml:space="preserve">2019 – </w:t>
      </w:r>
      <w:r w:rsidR="00652C1E">
        <w:rPr>
          <w:rFonts w:cs="Arial"/>
          <w:b/>
          <w:color w:val="007E79"/>
          <w:szCs w:val="22"/>
        </w:rPr>
        <w:t xml:space="preserve">Od roku 2017 proběhlo podle zákona o spotřebitelském úvěru více než 66 tisíc zkoušek odbornosti, z toho 69 % úspěšně. </w:t>
      </w:r>
      <w:r w:rsidR="004221B2" w:rsidRPr="00652C1E">
        <w:rPr>
          <w:rFonts w:cs="Arial"/>
          <w:b/>
          <w:color w:val="007E79"/>
          <w:szCs w:val="22"/>
        </w:rPr>
        <w:t xml:space="preserve">Znamená to, že </w:t>
      </w:r>
      <w:r w:rsidR="00652C1E">
        <w:rPr>
          <w:rFonts w:cs="Arial"/>
          <w:b/>
          <w:color w:val="007E79"/>
          <w:szCs w:val="22"/>
        </w:rPr>
        <w:t xml:space="preserve">pro svoji činnosti získalo potřebné osvědčení </w:t>
      </w:r>
      <w:r w:rsidR="004221B2" w:rsidRPr="00652C1E">
        <w:rPr>
          <w:rFonts w:cs="Arial"/>
          <w:b/>
          <w:color w:val="007E79"/>
          <w:szCs w:val="22"/>
        </w:rPr>
        <w:t>více než 46 tisíc osob</w:t>
      </w:r>
      <w:r w:rsidR="007121DF">
        <w:rPr>
          <w:rFonts w:cs="Arial"/>
          <w:b/>
          <w:color w:val="007E79"/>
          <w:szCs w:val="22"/>
        </w:rPr>
        <w:t xml:space="preserve"> – </w:t>
      </w:r>
      <w:r w:rsidR="00652C1E">
        <w:rPr>
          <w:rFonts w:cs="Arial"/>
          <w:b/>
          <w:color w:val="007E79"/>
          <w:szCs w:val="22"/>
        </w:rPr>
        <w:t>„finančních poradců“</w:t>
      </w:r>
      <w:r w:rsidR="004221B2" w:rsidRPr="00652C1E">
        <w:rPr>
          <w:rFonts w:cs="Arial"/>
          <w:b/>
          <w:color w:val="007E79"/>
          <w:szCs w:val="22"/>
        </w:rPr>
        <w:t>, kte</w:t>
      </w:r>
      <w:r w:rsidR="00652C1E">
        <w:rPr>
          <w:rFonts w:cs="Arial"/>
          <w:b/>
          <w:color w:val="007E79"/>
          <w:szCs w:val="22"/>
        </w:rPr>
        <w:t>ří</w:t>
      </w:r>
      <w:r w:rsidR="004221B2" w:rsidRPr="00652C1E">
        <w:rPr>
          <w:rFonts w:cs="Arial"/>
          <w:b/>
          <w:color w:val="007E79"/>
          <w:szCs w:val="22"/>
        </w:rPr>
        <w:t xml:space="preserve"> se zabývají poskytováním nebo zprostředkováním spotřebitelských úvěrů</w:t>
      </w:r>
      <w:r w:rsidR="007121DF">
        <w:rPr>
          <w:rFonts w:cs="Arial"/>
          <w:b/>
          <w:color w:val="007E79"/>
          <w:szCs w:val="22"/>
        </w:rPr>
        <w:t xml:space="preserve"> či dalšími</w:t>
      </w:r>
      <w:r w:rsidR="00652C1E">
        <w:rPr>
          <w:rFonts w:cs="Arial"/>
          <w:b/>
          <w:color w:val="007E79"/>
          <w:szCs w:val="22"/>
        </w:rPr>
        <w:t xml:space="preserve"> souvisejícími činnostmi.</w:t>
      </w:r>
      <w:r w:rsidR="004221B2">
        <w:rPr>
          <w:rFonts w:cs="Arial"/>
          <w:b/>
          <w:color w:val="007E79"/>
          <w:szCs w:val="22"/>
        </w:rPr>
        <w:t xml:space="preserve"> </w:t>
      </w:r>
      <w:r w:rsidR="00132AD7" w:rsidRPr="00A46880">
        <w:rPr>
          <w:rFonts w:cs="Arial"/>
          <w:b/>
          <w:color w:val="007E79"/>
          <w:szCs w:val="22"/>
        </w:rPr>
        <w:t>N</w:t>
      </w:r>
      <w:r w:rsidR="00505E19" w:rsidRPr="00A46880">
        <w:rPr>
          <w:rFonts w:cs="Arial"/>
          <w:b/>
          <w:color w:val="007E79"/>
          <w:szCs w:val="22"/>
        </w:rPr>
        <w:t xml:space="preserve">ejčastěji skládanou zkouškou </w:t>
      </w:r>
      <w:r w:rsidR="003A7DB5">
        <w:rPr>
          <w:rFonts w:cs="Arial"/>
          <w:b/>
          <w:color w:val="007E79"/>
          <w:szCs w:val="22"/>
        </w:rPr>
        <w:t>je</w:t>
      </w:r>
      <w:r w:rsidR="00505E19" w:rsidRPr="00A46880">
        <w:rPr>
          <w:rFonts w:cs="Arial"/>
          <w:b/>
          <w:color w:val="007E79"/>
          <w:szCs w:val="22"/>
        </w:rPr>
        <w:t xml:space="preserve"> tzv. zkouška kombinovaná, kterou </w:t>
      </w:r>
      <w:r w:rsidR="00AA14BC">
        <w:rPr>
          <w:rFonts w:cs="Arial"/>
          <w:b/>
          <w:color w:val="007E79"/>
          <w:szCs w:val="22"/>
        </w:rPr>
        <w:t xml:space="preserve">úspěšně </w:t>
      </w:r>
      <w:r w:rsidR="00505E19" w:rsidRPr="00A46880">
        <w:rPr>
          <w:rFonts w:cs="Arial"/>
          <w:b/>
          <w:color w:val="007E79"/>
          <w:szCs w:val="22"/>
        </w:rPr>
        <w:t xml:space="preserve">absolvovalo přes </w:t>
      </w:r>
      <w:r w:rsidR="00AA14BC">
        <w:rPr>
          <w:rFonts w:cs="Arial"/>
          <w:b/>
          <w:color w:val="007E79"/>
          <w:szCs w:val="22"/>
        </w:rPr>
        <w:t xml:space="preserve">27 tisíc </w:t>
      </w:r>
      <w:r w:rsidR="00132AD7" w:rsidRPr="00A46880">
        <w:rPr>
          <w:rFonts w:cs="Arial"/>
          <w:b/>
          <w:color w:val="007E79"/>
          <w:szCs w:val="22"/>
        </w:rPr>
        <w:t>poradců</w:t>
      </w:r>
      <w:r w:rsidR="00A46880" w:rsidRPr="00A46880">
        <w:rPr>
          <w:rFonts w:cs="Arial"/>
          <w:b/>
          <w:color w:val="007E79"/>
          <w:szCs w:val="22"/>
        </w:rPr>
        <w:t xml:space="preserve">. </w:t>
      </w:r>
      <w:r w:rsidR="00A46880">
        <w:rPr>
          <w:rFonts w:cs="Arial"/>
          <w:b/>
          <w:color w:val="007E79"/>
          <w:szCs w:val="22"/>
        </w:rPr>
        <w:t xml:space="preserve">Úspěšnost se </w:t>
      </w:r>
      <w:r w:rsidR="00C56384">
        <w:rPr>
          <w:rFonts w:cs="Arial"/>
          <w:b/>
          <w:color w:val="007E79"/>
          <w:szCs w:val="22"/>
        </w:rPr>
        <w:t>však liší</w:t>
      </w:r>
      <w:r w:rsidR="00A46880">
        <w:rPr>
          <w:rFonts w:cs="Arial"/>
          <w:b/>
          <w:color w:val="007E79"/>
          <w:szCs w:val="22"/>
        </w:rPr>
        <w:t xml:space="preserve"> dle typu zkoušky</w:t>
      </w:r>
      <w:r w:rsidR="003A7DB5">
        <w:rPr>
          <w:rFonts w:cs="Arial"/>
          <w:b/>
          <w:color w:val="007E79"/>
          <w:szCs w:val="22"/>
        </w:rPr>
        <w:t xml:space="preserve">. </w:t>
      </w:r>
      <w:r w:rsidR="00711D7C">
        <w:rPr>
          <w:rFonts w:cs="Arial"/>
          <w:b/>
          <w:color w:val="007E79"/>
          <w:szCs w:val="22"/>
        </w:rPr>
        <w:t xml:space="preserve">Zaměstnanci bank </w:t>
      </w:r>
      <w:r w:rsidR="0070749F">
        <w:rPr>
          <w:rFonts w:cs="Arial"/>
          <w:b/>
          <w:color w:val="007E79"/>
          <w:szCs w:val="22"/>
        </w:rPr>
        <w:t xml:space="preserve">u zkoušek </w:t>
      </w:r>
      <w:r w:rsidR="00711D7C">
        <w:rPr>
          <w:rFonts w:cs="Arial"/>
          <w:b/>
          <w:color w:val="007E79"/>
          <w:szCs w:val="22"/>
        </w:rPr>
        <w:t xml:space="preserve">vykazovali vyšší </w:t>
      </w:r>
      <w:r w:rsidR="00AE37D1">
        <w:rPr>
          <w:rFonts w:cs="Arial"/>
          <w:b/>
          <w:color w:val="007E79"/>
          <w:szCs w:val="22"/>
        </w:rPr>
        <w:t>úspěšnost</w:t>
      </w:r>
      <w:r w:rsidR="00711D7C">
        <w:rPr>
          <w:rFonts w:cs="Arial"/>
          <w:b/>
          <w:color w:val="007E79"/>
          <w:szCs w:val="22"/>
        </w:rPr>
        <w:t xml:space="preserve"> než ostatní</w:t>
      </w:r>
      <w:r w:rsidR="00186D65">
        <w:rPr>
          <w:rFonts w:cs="Arial"/>
          <w:b/>
          <w:color w:val="007E79"/>
          <w:szCs w:val="22"/>
        </w:rPr>
        <w:t xml:space="preserve"> testovaní</w:t>
      </w:r>
      <w:r w:rsidR="00711D7C">
        <w:rPr>
          <w:rFonts w:cs="Arial"/>
          <w:b/>
          <w:color w:val="007E79"/>
          <w:szCs w:val="22"/>
        </w:rPr>
        <w:t>.</w:t>
      </w:r>
      <w:r w:rsidR="005161D9">
        <w:rPr>
          <w:rFonts w:cs="Arial"/>
          <w:b/>
          <w:color w:val="007E79"/>
          <w:szCs w:val="22"/>
        </w:rPr>
        <w:t xml:space="preserve"> Informace vyplývají</w:t>
      </w:r>
      <w:r w:rsidR="00711D7C">
        <w:rPr>
          <w:rFonts w:cs="Arial"/>
          <w:b/>
          <w:color w:val="007E79"/>
          <w:szCs w:val="22"/>
        </w:rPr>
        <w:t xml:space="preserve"> z dat zveřejněných centrální bankou</w:t>
      </w:r>
      <w:r w:rsidR="00A2201D">
        <w:rPr>
          <w:rFonts w:cs="Arial"/>
          <w:b/>
          <w:color w:val="007E79"/>
          <w:szCs w:val="22"/>
        </w:rPr>
        <w:t xml:space="preserve"> </w:t>
      </w:r>
      <w:r w:rsidR="00711D7C">
        <w:rPr>
          <w:rFonts w:cs="Arial"/>
          <w:b/>
          <w:color w:val="007E79"/>
          <w:szCs w:val="22"/>
        </w:rPr>
        <w:t>a údajů České bankovní asociace</w:t>
      </w:r>
      <w:r w:rsidR="00DE3B0F">
        <w:rPr>
          <w:rFonts w:cs="Arial"/>
          <w:b/>
          <w:color w:val="007E79"/>
          <w:szCs w:val="22"/>
        </w:rPr>
        <w:t xml:space="preserve"> (ČBA)</w:t>
      </w:r>
      <w:r w:rsidR="00711D7C">
        <w:rPr>
          <w:rFonts w:cs="Arial"/>
          <w:b/>
          <w:color w:val="007E79"/>
          <w:szCs w:val="22"/>
        </w:rPr>
        <w:t>.</w:t>
      </w:r>
    </w:p>
    <w:p w14:paraId="6DAD12B6" w14:textId="2CB164D7" w:rsidR="00762B1E" w:rsidRPr="008C161D" w:rsidRDefault="00FA2100" w:rsidP="005877CB">
      <w:pPr>
        <w:spacing w:after="120"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Povinnost složit zkoušku </w:t>
      </w:r>
      <w:r w:rsidR="00762B1E">
        <w:rPr>
          <w:rFonts w:cs="Arial"/>
          <w:szCs w:val="22"/>
        </w:rPr>
        <w:t>odborné způsobilosti</w:t>
      </w:r>
      <w:r>
        <w:rPr>
          <w:rFonts w:cs="Arial"/>
          <w:szCs w:val="22"/>
        </w:rPr>
        <w:t xml:space="preserve"> </w:t>
      </w:r>
      <w:r w:rsidR="00762B1E">
        <w:rPr>
          <w:rFonts w:cs="Arial"/>
          <w:szCs w:val="22"/>
        </w:rPr>
        <w:t>zavedl</w:t>
      </w:r>
      <w:r>
        <w:rPr>
          <w:rFonts w:cs="Arial"/>
          <w:szCs w:val="22"/>
        </w:rPr>
        <w:t xml:space="preserve"> </w:t>
      </w:r>
      <w:r w:rsidR="00C56384">
        <w:rPr>
          <w:rFonts w:cs="Arial"/>
          <w:szCs w:val="22"/>
        </w:rPr>
        <w:t xml:space="preserve">nový </w:t>
      </w:r>
      <w:r>
        <w:rPr>
          <w:rFonts w:cs="Arial"/>
          <w:szCs w:val="22"/>
        </w:rPr>
        <w:t>zákon o spotřebitelském úvěru z</w:t>
      </w:r>
      <w:r w:rsidR="00816E15">
        <w:rPr>
          <w:rFonts w:cs="Arial"/>
          <w:szCs w:val="22"/>
        </w:rPr>
        <w:t xml:space="preserve"> roku </w:t>
      </w:r>
      <w:r w:rsidR="00762B1E">
        <w:rPr>
          <w:rFonts w:cs="Arial"/>
          <w:szCs w:val="22"/>
        </w:rPr>
        <w:t xml:space="preserve">2016. </w:t>
      </w:r>
      <w:r w:rsidR="006F7DF9">
        <w:rPr>
          <w:rFonts w:cs="Arial"/>
          <w:szCs w:val="22"/>
        </w:rPr>
        <w:t xml:space="preserve">Stávající </w:t>
      </w:r>
      <w:r w:rsidR="006F7DF9" w:rsidRPr="00905E09">
        <w:rPr>
          <w:rFonts w:cs="Arial"/>
          <w:szCs w:val="22"/>
        </w:rPr>
        <w:t>finanční poradci, zprostředkovatelé</w:t>
      </w:r>
      <w:r w:rsidR="005161D9" w:rsidRPr="00905E09">
        <w:rPr>
          <w:rFonts w:cs="Arial"/>
          <w:szCs w:val="22"/>
        </w:rPr>
        <w:t xml:space="preserve"> a</w:t>
      </w:r>
      <w:r w:rsidR="006F7DF9" w:rsidRPr="00905E09">
        <w:rPr>
          <w:rFonts w:cs="Arial"/>
          <w:szCs w:val="22"/>
        </w:rPr>
        <w:t xml:space="preserve"> poskytovatelé i nebankovní prodejci úvěrových produktů museli zkoušk</w:t>
      </w:r>
      <w:r w:rsidR="007F6403" w:rsidRPr="00905E09">
        <w:rPr>
          <w:rFonts w:cs="Arial"/>
          <w:szCs w:val="22"/>
        </w:rPr>
        <w:t>u</w:t>
      </w:r>
      <w:r w:rsidR="006F7DF9" w:rsidRPr="00905E09">
        <w:rPr>
          <w:rFonts w:cs="Arial"/>
          <w:szCs w:val="22"/>
        </w:rPr>
        <w:t xml:space="preserve"> složit a osvědčení získat během dvouletého přechodného období. </w:t>
      </w:r>
      <w:r w:rsidR="00762B1E" w:rsidRPr="00905E09">
        <w:rPr>
          <w:rFonts w:cs="Arial"/>
          <w:szCs w:val="22"/>
        </w:rPr>
        <w:t>„</w:t>
      </w:r>
      <w:r w:rsidR="005161D9" w:rsidRPr="00905E09">
        <w:rPr>
          <w:rFonts w:cs="Arial"/>
          <w:i/>
          <w:szCs w:val="22"/>
        </w:rPr>
        <w:t>K</w:t>
      </w:r>
      <w:r w:rsidR="006F7DF9" w:rsidRPr="00905E09">
        <w:rPr>
          <w:rFonts w:cs="Arial"/>
          <w:i/>
          <w:szCs w:val="22"/>
        </w:rPr>
        <w:t xml:space="preserve">aždý, kdo </w:t>
      </w:r>
      <w:r w:rsidR="00C95FE0" w:rsidRPr="00905E09">
        <w:rPr>
          <w:rFonts w:cs="Arial"/>
          <w:i/>
          <w:szCs w:val="22"/>
        </w:rPr>
        <w:t>poskytoval</w:t>
      </w:r>
      <w:r w:rsidR="006F7DF9" w:rsidRPr="00905E09">
        <w:rPr>
          <w:rFonts w:cs="Arial"/>
          <w:i/>
          <w:szCs w:val="22"/>
        </w:rPr>
        <w:t xml:space="preserve"> </w:t>
      </w:r>
      <w:r w:rsidR="006F7DF9" w:rsidRPr="007121DF">
        <w:rPr>
          <w:rFonts w:cs="Arial"/>
          <w:i/>
          <w:szCs w:val="22"/>
        </w:rPr>
        <w:t xml:space="preserve">poradenství </w:t>
      </w:r>
      <w:r w:rsidR="00905E09" w:rsidRPr="007121DF">
        <w:rPr>
          <w:rFonts w:cs="Arial"/>
          <w:i/>
          <w:szCs w:val="22"/>
        </w:rPr>
        <w:t>či produkty v oblasti</w:t>
      </w:r>
      <w:r w:rsidR="006F7DF9" w:rsidRPr="00905E09">
        <w:rPr>
          <w:rFonts w:cs="Arial"/>
          <w:i/>
          <w:szCs w:val="22"/>
        </w:rPr>
        <w:t xml:space="preserve"> s</w:t>
      </w:r>
      <w:r w:rsidR="006F7DF9" w:rsidRPr="006F7DF9">
        <w:rPr>
          <w:rFonts w:cs="Arial"/>
          <w:i/>
          <w:szCs w:val="22"/>
        </w:rPr>
        <w:t>potřebitelsk</w:t>
      </w:r>
      <w:r w:rsidR="00905E09">
        <w:rPr>
          <w:rFonts w:cs="Arial"/>
          <w:i/>
          <w:szCs w:val="22"/>
        </w:rPr>
        <w:t>ých</w:t>
      </w:r>
      <w:r w:rsidR="006F7DF9" w:rsidRPr="006F7DF9">
        <w:rPr>
          <w:rFonts w:cs="Arial"/>
          <w:i/>
          <w:szCs w:val="22"/>
        </w:rPr>
        <w:t xml:space="preserve"> úvěr</w:t>
      </w:r>
      <w:r w:rsidR="00905E09">
        <w:rPr>
          <w:rFonts w:cs="Arial"/>
          <w:i/>
          <w:szCs w:val="22"/>
        </w:rPr>
        <w:t>ů</w:t>
      </w:r>
      <w:r w:rsidR="006F7DF9" w:rsidRPr="006F7DF9">
        <w:rPr>
          <w:rFonts w:cs="Arial"/>
          <w:i/>
          <w:szCs w:val="22"/>
        </w:rPr>
        <w:t xml:space="preserve">, ať již soukromě, </w:t>
      </w:r>
      <w:r w:rsidR="00C26B97">
        <w:rPr>
          <w:rFonts w:cs="Arial"/>
          <w:i/>
          <w:szCs w:val="22"/>
        </w:rPr>
        <w:t>či</w:t>
      </w:r>
      <w:r w:rsidR="006F7DF9" w:rsidRPr="006F7DF9">
        <w:rPr>
          <w:rFonts w:cs="Arial"/>
          <w:i/>
          <w:szCs w:val="22"/>
        </w:rPr>
        <w:t xml:space="preserve"> jako zaměstnanec finanční společnosti, musel do konce listopadu 2018 úspěšně absolvovat odbornou zkoušku dle svého zaměření u některé ze společností, které k tomuto akreditovala ČNB. </w:t>
      </w:r>
      <w:r w:rsidR="00762B1E" w:rsidRPr="006F7DF9">
        <w:rPr>
          <w:rFonts w:cs="Arial"/>
          <w:i/>
          <w:szCs w:val="22"/>
        </w:rPr>
        <w:t xml:space="preserve">Povinnost </w:t>
      </w:r>
      <w:r w:rsidR="0070749F">
        <w:rPr>
          <w:rFonts w:cs="Arial"/>
          <w:i/>
          <w:szCs w:val="22"/>
        </w:rPr>
        <w:t xml:space="preserve">získat osvědčení </w:t>
      </w:r>
      <w:r w:rsidR="00762B1E" w:rsidRPr="006F7DF9">
        <w:rPr>
          <w:rFonts w:cs="Arial"/>
          <w:i/>
          <w:szCs w:val="22"/>
        </w:rPr>
        <w:t xml:space="preserve">platí samozřejmě </w:t>
      </w:r>
      <w:r w:rsidR="006F7DF9" w:rsidRPr="006F7DF9">
        <w:rPr>
          <w:rFonts w:cs="Arial"/>
          <w:i/>
          <w:szCs w:val="22"/>
        </w:rPr>
        <w:t xml:space="preserve">nadále </w:t>
      </w:r>
      <w:r w:rsidR="006F7DF9" w:rsidRPr="007121DF">
        <w:rPr>
          <w:rFonts w:cs="Arial"/>
          <w:i/>
          <w:szCs w:val="22"/>
        </w:rPr>
        <w:t>a vš</w:t>
      </w:r>
      <w:r w:rsidR="00905E09" w:rsidRPr="007121DF">
        <w:rPr>
          <w:rFonts w:cs="Arial"/>
          <w:i/>
          <w:szCs w:val="22"/>
        </w:rPr>
        <w:t>e</w:t>
      </w:r>
      <w:r w:rsidR="006F7DF9" w:rsidRPr="007121DF">
        <w:rPr>
          <w:rFonts w:cs="Arial"/>
          <w:i/>
          <w:szCs w:val="22"/>
        </w:rPr>
        <w:t>ch</w:t>
      </w:r>
      <w:r w:rsidR="00905E09" w:rsidRPr="007121DF">
        <w:rPr>
          <w:rFonts w:cs="Arial"/>
          <w:i/>
          <w:szCs w:val="22"/>
        </w:rPr>
        <w:t>ny osoby a zaměstnanci</w:t>
      </w:r>
      <w:r w:rsidR="00762B1E" w:rsidRPr="007121DF">
        <w:rPr>
          <w:rFonts w:cs="Arial"/>
          <w:i/>
          <w:szCs w:val="22"/>
        </w:rPr>
        <w:t>, kteří se na trh chystají vstoupit</w:t>
      </w:r>
      <w:r w:rsidR="00905E09" w:rsidRPr="007121DF">
        <w:rPr>
          <w:rFonts w:cs="Arial"/>
          <w:i/>
          <w:szCs w:val="22"/>
        </w:rPr>
        <w:t xml:space="preserve"> nově</w:t>
      </w:r>
      <w:r w:rsidR="007F6403" w:rsidRPr="007121DF">
        <w:rPr>
          <w:rFonts w:cs="Arial"/>
          <w:i/>
          <w:szCs w:val="22"/>
        </w:rPr>
        <w:t>,</w:t>
      </w:r>
      <w:r w:rsidR="006F7DF9" w:rsidRPr="007121DF">
        <w:rPr>
          <w:rFonts w:cs="Arial"/>
          <w:i/>
          <w:szCs w:val="22"/>
        </w:rPr>
        <w:t xml:space="preserve"> musí </w:t>
      </w:r>
      <w:r w:rsidR="0070749F" w:rsidRPr="007121DF">
        <w:rPr>
          <w:rFonts w:cs="Arial"/>
          <w:i/>
          <w:szCs w:val="22"/>
        </w:rPr>
        <w:t xml:space="preserve">zkoušku </w:t>
      </w:r>
      <w:r w:rsidR="006F7DF9" w:rsidRPr="007121DF">
        <w:rPr>
          <w:rFonts w:cs="Arial"/>
          <w:i/>
          <w:szCs w:val="22"/>
        </w:rPr>
        <w:t>absolvovat</w:t>
      </w:r>
      <w:r w:rsidR="006F7DF9" w:rsidRPr="007121DF">
        <w:rPr>
          <w:rFonts w:cs="Arial"/>
          <w:szCs w:val="22"/>
        </w:rPr>
        <w:t xml:space="preserve">,“ upřesňuje Helena Brychová, </w:t>
      </w:r>
      <w:proofErr w:type="spellStart"/>
      <w:r w:rsidR="006F7DF9" w:rsidRPr="007121DF">
        <w:rPr>
          <w:rFonts w:cs="Arial"/>
          <w:szCs w:val="22"/>
        </w:rPr>
        <w:t>gestorka</w:t>
      </w:r>
      <w:proofErr w:type="spellEnd"/>
      <w:r w:rsidR="006F7DF9" w:rsidRPr="007121DF">
        <w:rPr>
          <w:rFonts w:cs="Arial"/>
          <w:szCs w:val="22"/>
        </w:rPr>
        <w:t xml:space="preserve"> finančního vzdělávání České bankovní asociace.</w:t>
      </w:r>
    </w:p>
    <w:p w14:paraId="5C3350D5" w14:textId="6973BCD6" w:rsidR="00E036B1" w:rsidRPr="007121DF" w:rsidRDefault="00240002" w:rsidP="007121DF">
      <w:pPr>
        <w:spacing w:line="276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Zkoušky pro dvě třetiny končí úspěchem</w:t>
      </w:r>
    </w:p>
    <w:p w14:paraId="7D5C8DFF" w14:textId="42BEAB31" w:rsidR="00E036B1" w:rsidRPr="007121DF" w:rsidRDefault="00C56384" w:rsidP="005877CB">
      <w:pPr>
        <w:spacing w:after="120" w:line="276" w:lineRule="auto"/>
        <w:rPr>
          <w:color w:val="000000"/>
          <w:szCs w:val="18"/>
        </w:rPr>
      </w:pPr>
      <w:r w:rsidRPr="007121DF">
        <w:rPr>
          <w:rFonts w:cs="Arial"/>
          <w:szCs w:val="22"/>
        </w:rPr>
        <w:t>Podle dostupných informací</w:t>
      </w:r>
      <w:r w:rsidR="006F7DF9" w:rsidRPr="007121DF">
        <w:rPr>
          <w:rFonts w:cs="Arial"/>
          <w:szCs w:val="22"/>
        </w:rPr>
        <w:t xml:space="preserve"> </w:t>
      </w:r>
      <w:r w:rsidR="0070749F" w:rsidRPr="007121DF">
        <w:rPr>
          <w:rFonts w:cs="Arial"/>
          <w:szCs w:val="22"/>
        </w:rPr>
        <w:t>centrální banky</w:t>
      </w:r>
      <w:r w:rsidR="00905E09" w:rsidRPr="007121DF">
        <w:rPr>
          <w:rFonts w:cs="Arial"/>
          <w:szCs w:val="22"/>
        </w:rPr>
        <w:t xml:space="preserve"> </w:t>
      </w:r>
      <w:r w:rsidR="00905E09" w:rsidRPr="007121DF">
        <w:rPr>
          <w:rFonts w:cs="Arial"/>
          <w:szCs w:val="22"/>
        </w:rPr>
        <w:t>bylo</w:t>
      </w:r>
      <w:r w:rsidR="00AA2920" w:rsidRPr="007121DF">
        <w:rPr>
          <w:rFonts w:cs="Arial"/>
          <w:szCs w:val="22"/>
        </w:rPr>
        <w:t xml:space="preserve"> </w:t>
      </w:r>
      <w:r w:rsidR="00905E09" w:rsidRPr="007121DF">
        <w:rPr>
          <w:rFonts w:cs="Arial"/>
          <w:szCs w:val="22"/>
        </w:rPr>
        <w:t>během</w:t>
      </w:r>
      <w:r w:rsidR="006F7DF9" w:rsidRPr="007121DF">
        <w:rPr>
          <w:rFonts w:cs="Arial"/>
          <w:szCs w:val="22"/>
        </w:rPr>
        <w:t xml:space="preserve"> přechodné</w:t>
      </w:r>
      <w:r w:rsidR="00905E09" w:rsidRPr="007121DF">
        <w:rPr>
          <w:rFonts w:cs="Arial"/>
          <w:szCs w:val="22"/>
        </w:rPr>
        <w:t>ho</w:t>
      </w:r>
      <w:r w:rsidR="006F7DF9" w:rsidRPr="007121DF">
        <w:rPr>
          <w:rFonts w:cs="Arial"/>
          <w:szCs w:val="22"/>
        </w:rPr>
        <w:t xml:space="preserve"> období a prosinc</w:t>
      </w:r>
      <w:r w:rsidR="00905E09" w:rsidRPr="007121DF">
        <w:rPr>
          <w:rFonts w:cs="Arial"/>
          <w:szCs w:val="22"/>
        </w:rPr>
        <w:t>e</w:t>
      </w:r>
      <w:r w:rsidR="006F7DF9" w:rsidRPr="007121DF">
        <w:rPr>
          <w:rFonts w:cs="Arial"/>
          <w:szCs w:val="22"/>
        </w:rPr>
        <w:t xml:space="preserve"> 2018 </w:t>
      </w:r>
      <w:r w:rsidR="00905E09" w:rsidRPr="007121DF">
        <w:rPr>
          <w:rFonts w:cs="Arial"/>
          <w:szCs w:val="22"/>
        </w:rPr>
        <w:t>uskutečněno více než</w:t>
      </w:r>
      <w:r w:rsidR="006F7DF9" w:rsidRPr="007121DF">
        <w:rPr>
          <w:rFonts w:cs="Arial"/>
          <w:szCs w:val="22"/>
        </w:rPr>
        <w:t xml:space="preserve"> 66 tisí</w:t>
      </w:r>
      <w:r w:rsidR="00905E09" w:rsidRPr="007121DF">
        <w:rPr>
          <w:rFonts w:cs="Arial"/>
          <w:szCs w:val="22"/>
        </w:rPr>
        <w:t>c</w:t>
      </w:r>
      <w:r w:rsidR="00A2201D" w:rsidRPr="00A2201D">
        <w:rPr>
          <w:rFonts w:cs="Arial"/>
          <w:szCs w:val="22"/>
        </w:rPr>
        <w:t xml:space="preserve"> </w:t>
      </w:r>
      <w:r w:rsidR="00A2201D" w:rsidRPr="007121DF">
        <w:rPr>
          <w:rFonts w:cs="Arial"/>
          <w:szCs w:val="22"/>
        </w:rPr>
        <w:t>zkoušek odbornosti</w:t>
      </w:r>
      <w:r w:rsidR="007F6403" w:rsidRPr="007121DF">
        <w:rPr>
          <w:rFonts w:cs="Arial"/>
          <w:szCs w:val="22"/>
        </w:rPr>
        <w:t xml:space="preserve">, z toho 69 % </w:t>
      </w:r>
      <w:r w:rsidR="00905E09" w:rsidRPr="007121DF">
        <w:rPr>
          <w:rFonts w:cs="Arial"/>
          <w:szCs w:val="22"/>
        </w:rPr>
        <w:t>úspěšně</w:t>
      </w:r>
      <w:r w:rsidR="006F7DF9" w:rsidRPr="007121DF">
        <w:rPr>
          <w:rFonts w:cs="Arial"/>
          <w:szCs w:val="22"/>
        </w:rPr>
        <w:t>.</w:t>
      </w:r>
      <w:r w:rsidR="004478C7" w:rsidRPr="007121DF">
        <w:t xml:space="preserve"> Pro úspěšné složení zkoušky je zapotřebí kumulativního splnění tří podmínek – </w:t>
      </w:r>
      <w:r w:rsidR="008C161D">
        <w:t>60%</w:t>
      </w:r>
      <w:r w:rsidR="004478C7" w:rsidRPr="007121DF">
        <w:t xml:space="preserve"> úspěšnost v otázkách ze znalostí, </w:t>
      </w:r>
      <w:r w:rsidR="008C161D">
        <w:t>60%</w:t>
      </w:r>
      <w:r w:rsidR="004478C7" w:rsidRPr="007121DF">
        <w:t xml:space="preserve"> úspěšnost v otázkách z dovedností </w:t>
      </w:r>
      <w:r w:rsidR="00A2201D" w:rsidRPr="007121DF">
        <w:t xml:space="preserve">a </w:t>
      </w:r>
      <w:r w:rsidR="00A2201D">
        <w:t>75</w:t>
      </w:r>
      <w:r w:rsidR="008C161D">
        <w:t>%</w:t>
      </w:r>
      <w:r w:rsidR="004478C7" w:rsidRPr="007121DF">
        <w:t xml:space="preserve"> celková úspěšnost. </w:t>
      </w:r>
      <w:r w:rsidR="004478C7" w:rsidRPr="007121DF">
        <w:rPr>
          <w:i/>
        </w:rPr>
        <w:t xml:space="preserve">„Naše zkušenosti ukazují, že tou nejtěžší podmínkou je právě dosažení 75 % z celkového počtu dosažitelných bodů,“ </w:t>
      </w:r>
      <w:r w:rsidR="004478C7" w:rsidRPr="007121DF">
        <w:rPr>
          <w:rFonts w:cs="Arial"/>
          <w:szCs w:val="22"/>
        </w:rPr>
        <w:t>doplňuje ke statistikám Brychová</w:t>
      </w:r>
      <w:r w:rsidR="00BE3A6F">
        <w:rPr>
          <w:rFonts w:cs="Arial"/>
          <w:szCs w:val="22"/>
        </w:rPr>
        <w:t>.</w:t>
      </w:r>
      <w:r w:rsidR="004478C7" w:rsidRPr="007121DF">
        <w:rPr>
          <w:rFonts w:cs="Arial"/>
          <w:szCs w:val="22"/>
        </w:rPr>
        <w:t xml:space="preserve"> </w:t>
      </w:r>
      <w:r w:rsidR="00C26B97" w:rsidRPr="00BE3A6F">
        <w:rPr>
          <w:rFonts w:cs="Arial"/>
          <w:szCs w:val="22"/>
        </w:rPr>
        <w:t>Počet zkoušek a jejich úspěšnost závisí samozřejmě</w:t>
      </w:r>
      <w:bookmarkStart w:id="0" w:name="_GoBack"/>
      <w:bookmarkEnd w:id="0"/>
      <w:r w:rsidR="0070749F" w:rsidRPr="00BE3A6F">
        <w:rPr>
          <w:rFonts w:cs="Arial"/>
          <w:szCs w:val="22"/>
        </w:rPr>
        <w:t xml:space="preserve"> také</w:t>
      </w:r>
      <w:r w:rsidR="00C26B97" w:rsidRPr="00BE3A6F">
        <w:rPr>
          <w:rFonts w:cs="Arial"/>
          <w:szCs w:val="22"/>
        </w:rPr>
        <w:t xml:space="preserve"> na</w:t>
      </w:r>
      <w:r w:rsidR="0070749F" w:rsidRPr="00BE3A6F">
        <w:rPr>
          <w:rFonts w:cs="Arial"/>
          <w:szCs w:val="22"/>
        </w:rPr>
        <w:t xml:space="preserve"> jejím</w:t>
      </w:r>
      <w:r w:rsidR="00C26B97" w:rsidRPr="00BE3A6F">
        <w:rPr>
          <w:rFonts w:cs="Arial"/>
          <w:szCs w:val="22"/>
        </w:rPr>
        <w:t xml:space="preserve"> typu</w:t>
      </w:r>
      <w:r w:rsidR="006F7DF9" w:rsidRPr="00BE3A6F">
        <w:rPr>
          <w:rFonts w:cs="Arial"/>
          <w:szCs w:val="22"/>
        </w:rPr>
        <w:t>.</w:t>
      </w:r>
      <w:r w:rsidR="005161D9" w:rsidRPr="00BE3A6F">
        <w:rPr>
          <w:rFonts w:cs="Arial"/>
          <w:szCs w:val="22"/>
        </w:rPr>
        <w:t xml:space="preserve"> N</w:t>
      </w:r>
      <w:r w:rsidRPr="00BE3A6F">
        <w:rPr>
          <w:rFonts w:cs="Arial"/>
          <w:szCs w:val="22"/>
        </w:rPr>
        <w:t xml:space="preserve">ejčastěji skládanou zkouškou </w:t>
      </w:r>
      <w:r w:rsidR="00C26B97" w:rsidRPr="00BE3A6F">
        <w:rPr>
          <w:rFonts w:cs="Arial"/>
          <w:szCs w:val="22"/>
        </w:rPr>
        <w:t>je</w:t>
      </w:r>
      <w:r w:rsidR="005161D9" w:rsidRPr="00BE3A6F">
        <w:rPr>
          <w:rFonts w:cs="Arial"/>
          <w:szCs w:val="22"/>
        </w:rPr>
        <w:t xml:space="preserve"> </w:t>
      </w:r>
      <w:r w:rsidRPr="00BE3A6F">
        <w:rPr>
          <w:rFonts w:cs="Arial"/>
          <w:szCs w:val="22"/>
        </w:rPr>
        <w:t>zkouška kombinovaná, která je potřebná pro distribuci spotřebitelských úvěrů na bydlení i jiných</w:t>
      </w:r>
      <w:r w:rsidR="00905E09" w:rsidRPr="00BE3A6F">
        <w:rPr>
          <w:rFonts w:cs="Arial"/>
          <w:szCs w:val="22"/>
        </w:rPr>
        <w:t xml:space="preserve"> než na bydlení</w:t>
      </w:r>
      <w:r w:rsidR="005B6588">
        <w:rPr>
          <w:rFonts w:cs="Arial"/>
          <w:szCs w:val="22"/>
        </w:rPr>
        <w:t xml:space="preserve">. </w:t>
      </w:r>
      <w:r w:rsidR="005B6588" w:rsidRPr="007121DF">
        <w:rPr>
          <w:color w:val="000000"/>
          <w:szCs w:val="18"/>
        </w:rPr>
        <w:t xml:space="preserve">Kombinovaných zkoušek se u všech akreditovaných osob uskutečnilo celkem 37 681, z toho 27 250 bylo úspěšných (72 %). </w:t>
      </w:r>
      <w:r w:rsidR="005B6588">
        <w:rPr>
          <w:color w:val="000000"/>
          <w:szCs w:val="18"/>
        </w:rPr>
        <w:t>N</w:t>
      </w:r>
      <w:r w:rsidR="00C26B97" w:rsidRPr="00BE3A6F">
        <w:rPr>
          <w:rFonts w:cs="Arial"/>
          <w:szCs w:val="22"/>
        </w:rPr>
        <w:t>ejméně úspěšnou zkouškou je zkouška Spotřebitelské úvěry jiné než na bydlení, kde celková úspěšn</w:t>
      </w:r>
      <w:r w:rsidR="00C26B97" w:rsidRPr="00B14F58">
        <w:rPr>
          <w:rFonts w:cs="Arial"/>
          <w:szCs w:val="22"/>
        </w:rPr>
        <w:t xml:space="preserve">ost dosahuje </w:t>
      </w:r>
      <w:r w:rsidR="00DE3B0F" w:rsidRPr="00B14F58">
        <w:rPr>
          <w:rFonts w:cs="Arial"/>
          <w:szCs w:val="22"/>
        </w:rPr>
        <w:t>pouhých</w:t>
      </w:r>
      <w:r w:rsidR="00C26B97" w:rsidRPr="00B14F58">
        <w:rPr>
          <w:rFonts w:cs="Arial"/>
          <w:szCs w:val="22"/>
        </w:rPr>
        <w:t xml:space="preserve"> 61 %</w:t>
      </w:r>
      <w:r w:rsidR="005877CB" w:rsidRPr="00B14F58">
        <w:t>.</w:t>
      </w:r>
      <w:r w:rsidR="00905E09" w:rsidRPr="007121DF">
        <w:rPr>
          <w:i/>
        </w:rPr>
        <w:t xml:space="preserve"> </w:t>
      </w:r>
    </w:p>
    <w:p w14:paraId="656F3801" w14:textId="359013AB" w:rsidR="000E6751" w:rsidRPr="00760B61" w:rsidRDefault="00760B61" w:rsidP="000E6751">
      <w:pPr>
        <w:spacing w:after="120" w:line="276" w:lineRule="auto"/>
      </w:pPr>
      <w:r>
        <w:t>Podle Brychové je o</w:t>
      </w:r>
      <w:r w:rsidR="000E6751" w:rsidRPr="00760B61">
        <w:t xml:space="preserve">btížnost zkoušek způsobena především tím, že každý typ zkoušky obsahuje celou řadu otázek týkajících se zbývajících typů zkoušek. Právě tato skutečnost je nevíce patrná u spotřebitelských úvěrů jiných než na bydlení, což jsou typicky půjčky na splátky, kreditní karty, kontokorenty a jiné typy účelových i neúčelových úvěrů. </w:t>
      </w:r>
      <w:r w:rsidR="005B6588">
        <w:t>„</w:t>
      </w:r>
      <w:r w:rsidR="000E6751" w:rsidRPr="005B6588">
        <w:rPr>
          <w:i/>
        </w:rPr>
        <w:t>Při jejich poskytování se pracovníci na finančním trhu víceméně nesetkávají s informacemi důležitými pro spotřebitelské úvěry na bydlení, mezi které patří úvěry ze stavebního spoření, úvěry překlenovací a hypoteční, pro něž platí mj. specifická pravidla ve vztahu k informacím, výpočtům, ale např. i daním, a s nimiž souvisí celé spektrum znalostí z oblasti právní úpravy nemovitostí, zápisů v katastru atd</w:t>
      </w:r>
      <w:r w:rsidRPr="005B6588">
        <w:rPr>
          <w:i/>
        </w:rPr>
        <w:t>.</w:t>
      </w:r>
      <w:r w:rsidR="005B6588" w:rsidRPr="005B6588">
        <w:rPr>
          <w:i/>
        </w:rPr>
        <w:t>,</w:t>
      </w:r>
      <w:r w:rsidR="005B6588">
        <w:t>“ upřesňuje Brychová.</w:t>
      </w:r>
    </w:p>
    <w:p w14:paraId="52E2C0F5" w14:textId="6C8D0D57" w:rsidR="00816E15" w:rsidRPr="007121DF" w:rsidRDefault="004478C7" w:rsidP="005877CB">
      <w:pPr>
        <w:spacing w:after="120" w:line="276" w:lineRule="auto"/>
        <w:contextualSpacing/>
        <w:rPr>
          <w:rFonts w:cs="Arial"/>
          <w:b/>
          <w:szCs w:val="22"/>
        </w:rPr>
      </w:pPr>
      <w:r w:rsidRPr="007121DF">
        <w:rPr>
          <w:rFonts w:cs="Arial"/>
          <w:b/>
          <w:szCs w:val="22"/>
        </w:rPr>
        <w:t xml:space="preserve">ČBA </w:t>
      </w:r>
      <w:proofErr w:type="spellStart"/>
      <w:r w:rsidR="00711D7C" w:rsidRPr="007121DF">
        <w:rPr>
          <w:rFonts w:cs="Arial"/>
          <w:b/>
          <w:szCs w:val="22"/>
        </w:rPr>
        <w:t>Educa</w:t>
      </w:r>
      <w:proofErr w:type="spellEnd"/>
      <w:r w:rsidR="00711D7C" w:rsidRPr="007121DF">
        <w:rPr>
          <w:rFonts w:cs="Arial"/>
          <w:b/>
          <w:szCs w:val="22"/>
        </w:rPr>
        <w:t xml:space="preserve"> přezkoušela</w:t>
      </w:r>
      <w:r w:rsidR="00816E15" w:rsidRPr="007121DF">
        <w:rPr>
          <w:rFonts w:cs="Arial"/>
          <w:b/>
          <w:szCs w:val="22"/>
        </w:rPr>
        <w:t xml:space="preserve"> podstatnou část trhu</w:t>
      </w:r>
    </w:p>
    <w:p w14:paraId="7ED0394A" w14:textId="341E7972" w:rsidR="004F0229" w:rsidRPr="007121DF" w:rsidRDefault="004478C7" w:rsidP="005877CB">
      <w:pPr>
        <w:spacing w:after="120" w:line="276" w:lineRule="auto"/>
        <w:rPr>
          <w:rFonts w:cs="Arial"/>
          <w:szCs w:val="22"/>
        </w:rPr>
      </w:pPr>
      <w:r w:rsidRPr="007121DF">
        <w:rPr>
          <w:rFonts w:cs="Arial"/>
          <w:szCs w:val="22"/>
        </w:rPr>
        <w:t xml:space="preserve">Z celkového počtu </w:t>
      </w:r>
      <w:r w:rsidR="007A329B" w:rsidRPr="007121DF">
        <w:rPr>
          <w:rFonts w:cs="Arial"/>
          <w:szCs w:val="22"/>
        </w:rPr>
        <w:t xml:space="preserve">odborných zkoušek dle zákona o spotřebitelském úvěru </w:t>
      </w:r>
      <w:r w:rsidRPr="007121DF">
        <w:rPr>
          <w:rFonts w:cs="Arial"/>
          <w:szCs w:val="22"/>
        </w:rPr>
        <w:t xml:space="preserve">se u </w:t>
      </w:r>
      <w:r w:rsidR="00A2201D">
        <w:rPr>
          <w:rFonts w:cs="Arial"/>
          <w:szCs w:val="22"/>
        </w:rPr>
        <w:t>České bankovní asociace</w:t>
      </w:r>
      <w:r w:rsidR="00A2201D" w:rsidRPr="007121DF">
        <w:rPr>
          <w:rFonts w:cs="Arial"/>
          <w:szCs w:val="22"/>
        </w:rPr>
        <w:t xml:space="preserve"> </w:t>
      </w:r>
      <w:r w:rsidRPr="007121DF">
        <w:rPr>
          <w:rFonts w:cs="Arial"/>
          <w:szCs w:val="22"/>
        </w:rPr>
        <w:t xml:space="preserve">uskutečnilo </w:t>
      </w:r>
      <w:r w:rsidR="00816E15" w:rsidRPr="007121DF">
        <w:rPr>
          <w:rFonts w:cs="Arial"/>
          <w:szCs w:val="22"/>
        </w:rPr>
        <w:t xml:space="preserve">více než 23 tisíc </w:t>
      </w:r>
      <w:r w:rsidRPr="007121DF">
        <w:rPr>
          <w:rFonts w:cs="Arial"/>
          <w:szCs w:val="22"/>
        </w:rPr>
        <w:t>zkoušek</w:t>
      </w:r>
      <w:r w:rsidR="00816E15" w:rsidRPr="007121DF">
        <w:rPr>
          <w:rFonts w:cs="Arial"/>
          <w:szCs w:val="22"/>
        </w:rPr>
        <w:t xml:space="preserve">. </w:t>
      </w:r>
      <w:r w:rsidR="00AA2920" w:rsidRPr="008C161D">
        <w:rPr>
          <w:color w:val="000000"/>
          <w:szCs w:val="18"/>
        </w:rPr>
        <w:t>Z údajů ČBA také vyplývá, že při srovnání úspěšnosti je bankovní sektor úspěšnější než zbývající část trhu, neboť u všech typů zkoušek jsou zaměstnanci bank úspěšní v 7</w:t>
      </w:r>
      <w:r w:rsidR="00DE3B0F" w:rsidRPr="007121DF">
        <w:rPr>
          <w:color w:val="000000"/>
          <w:szCs w:val="18"/>
        </w:rPr>
        <w:t>4</w:t>
      </w:r>
      <w:r w:rsidR="00AA2920" w:rsidRPr="007121DF">
        <w:rPr>
          <w:color w:val="000000"/>
          <w:szCs w:val="18"/>
        </w:rPr>
        <w:t xml:space="preserve"> %, zatímco ostatní pouze v 6</w:t>
      </w:r>
      <w:r w:rsidR="00DE3B0F" w:rsidRPr="007121DF">
        <w:rPr>
          <w:color w:val="000000"/>
          <w:szCs w:val="18"/>
        </w:rPr>
        <w:t>2</w:t>
      </w:r>
      <w:r w:rsidR="00AA2920" w:rsidRPr="007121DF">
        <w:rPr>
          <w:color w:val="000000"/>
          <w:szCs w:val="18"/>
        </w:rPr>
        <w:t xml:space="preserve"> %</w:t>
      </w:r>
      <w:r w:rsidR="00AA2920" w:rsidRPr="007121DF">
        <w:rPr>
          <w:i/>
          <w:color w:val="000000"/>
          <w:szCs w:val="18"/>
        </w:rPr>
        <w:t xml:space="preserve">. </w:t>
      </w:r>
      <w:r w:rsidR="007A329B" w:rsidRPr="007121DF">
        <w:rPr>
          <w:i/>
          <w:color w:val="000000"/>
          <w:szCs w:val="18"/>
        </w:rPr>
        <w:t>„Na c</w:t>
      </w:r>
      <w:r w:rsidR="00AA2920" w:rsidRPr="007121DF">
        <w:rPr>
          <w:i/>
          <w:color w:val="000000"/>
          <w:szCs w:val="18"/>
        </w:rPr>
        <w:t>elkov</w:t>
      </w:r>
      <w:r w:rsidR="007A329B" w:rsidRPr="007121DF">
        <w:rPr>
          <w:i/>
          <w:color w:val="000000"/>
          <w:szCs w:val="18"/>
        </w:rPr>
        <w:t>ě vyšší</w:t>
      </w:r>
      <w:r w:rsidR="00AA2920" w:rsidRPr="007121DF">
        <w:rPr>
          <w:i/>
          <w:color w:val="000000"/>
          <w:szCs w:val="18"/>
        </w:rPr>
        <w:t xml:space="preserve"> </w:t>
      </w:r>
      <w:r w:rsidR="00711D7C" w:rsidRPr="007121DF">
        <w:rPr>
          <w:rFonts w:cs="Arial"/>
          <w:i/>
          <w:szCs w:val="22"/>
        </w:rPr>
        <w:t>úspěšnost</w:t>
      </w:r>
      <w:r w:rsidR="007A329B" w:rsidRPr="007121DF">
        <w:rPr>
          <w:rFonts w:cs="Arial"/>
          <w:i/>
          <w:szCs w:val="22"/>
        </w:rPr>
        <w:t xml:space="preserve">i mají určitě svůj podíl </w:t>
      </w:r>
      <w:r w:rsidR="0046741A" w:rsidRPr="007121DF">
        <w:rPr>
          <w:rFonts w:cs="Arial"/>
          <w:i/>
          <w:szCs w:val="22"/>
        </w:rPr>
        <w:t xml:space="preserve">již dříve zavedené </w:t>
      </w:r>
      <w:r w:rsidR="007A329B" w:rsidRPr="007121DF">
        <w:rPr>
          <w:rFonts w:cs="Arial"/>
          <w:i/>
          <w:szCs w:val="22"/>
        </w:rPr>
        <w:t>průběžné vzdělávací aktivity</w:t>
      </w:r>
      <w:r w:rsidR="0046741A" w:rsidRPr="007121DF">
        <w:rPr>
          <w:rFonts w:cs="Arial"/>
          <w:i/>
          <w:szCs w:val="22"/>
        </w:rPr>
        <w:t xml:space="preserve"> organizované</w:t>
      </w:r>
      <w:r w:rsidR="007A329B" w:rsidRPr="007121DF">
        <w:rPr>
          <w:rFonts w:cs="Arial"/>
          <w:i/>
          <w:szCs w:val="22"/>
        </w:rPr>
        <w:t xml:space="preserve"> bank</w:t>
      </w:r>
      <w:r w:rsidR="0046741A" w:rsidRPr="007121DF">
        <w:rPr>
          <w:rFonts w:cs="Arial"/>
          <w:i/>
          <w:szCs w:val="22"/>
        </w:rPr>
        <w:t xml:space="preserve">ami na </w:t>
      </w:r>
      <w:r w:rsidR="007A329B" w:rsidRPr="007121DF">
        <w:rPr>
          <w:rFonts w:cs="Arial"/>
          <w:i/>
          <w:szCs w:val="22"/>
        </w:rPr>
        <w:t>pravideln</w:t>
      </w:r>
      <w:r w:rsidR="0046741A" w:rsidRPr="007121DF">
        <w:rPr>
          <w:rFonts w:cs="Arial"/>
          <w:i/>
          <w:szCs w:val="22"/>
        </w:rPr>
        <w:t>é bázi</w:t>
      </w:r>
      <w:r w:rsidR="007A329B" w:rsidRPr="007121DF">
        <w:rPr>
          <w:rFonts w:cs="Arial"/>
          <w:i/>
          <w:szCs w:val="22"/>
        </w:rPr>
        <w:t>. ČBA se</w:t>
      </w:r>
      <w:r w:rsidR="00224655" w:rsidRPr="007121DF">
        <w:rPr>
          <w:rFonts w:cs="Arial"/>
          <w:i/>
          <w:szCs w:val="22"/>
        </w:rPr>
        <w:t xml:space="preserve"> na svém portále </w:t>
      </w:r>
      <w:hyperlink r:id="rId8" w:history="1">
        <w:r w:rsidR="00224655" w:rsidRPr="007121DF">
          <w:rPr>
            <w:rStyle w:val="Hypertextovodkaz"/>
            <w:rFonts w:cs="Arial"/>
            <w:i/>
            <w:szCs w:val="22"/>
          </w:rPr>
          <w:t>www.cbaeduca.cz</w:t>
        </w:r>
      </w:hyperlink>
      <w:r w:rsidR="00224655" w:rsidRPr="007121DF">
        <w:rPr>
          <w:rFonts w:cs="Arial"/>
          <w:i/>
          <w:szCs w:val="22"/>
        </w:rPr>
        <w:t xml:space="preserve"> </w:t>
      </w:r>
      <w:r w:rsidR="007A329B" w:rsidRPr="007121DF">
        <w:rPr>
          <w:rFonts w:cs="Arial"/>
          <w:i/>
          <w:szCs w:val="22"/>
        </w:rPr>
        <w:t>vydala obdobnou cestou a na e-learningových kurzech i dalších možnostech přípravy si dala opravdu záležet,“</w:t>
      </w:r>
      <w:r w:rsidR="007A329B" w:rsidRPr="007121DF">
        <w:rPr>
          <w:rFonts w:cs="Arial"/>
          <w:szCs w:val="22"/>
        </w:rPr>
        <w:t xml:space="preserve"> </w:t>
      </w:r>
      <w:r w:rsidR="00760B61">
        <w:rPr>
          <w:rFonts w:cs="Arial"/>
          <w:szCs w:val="22"/>
        </w:rPr>
        <w:t>uvádí</w:t>
      </w:r>
      <w:r w:rsidR="007A329B" w:rsidRPr="007121DF">
        <w:rPr>
          <w:rFonts w:cs="Arial"/>
          <w:szCs w:val="22"/>
        </w:rPr>
        <w:t xml:space="preserve"> Brychová</w:t>
      </w:r>
      <w:r w:rsidR="00760B61">
        <w:rPr>
          <w:rFonts w:cs="Arial"/>
          <w:szCs w:val="22"/>
        </w:rPr>
        <w:t xml:space="preserve"> a doplňuje:</w:t>
      </w:r>
      <w:r w:rsidR="007A329B" w:rsidRPr="007121DF">
        <w:rPr>
          <w:rFonts w:cs="Arial"/>
          <w:szCs w:val="22"/>
        </w:rPr>
        <w:t xml:space="preserve"> </w:t>
      </w:r>
      <w:r w:rsidR="00816E15" w:rsidRPr="007121DF">
        <w:rPr>
          <w:rFonts w:cs="Arial"/>
          <w:szCs w:val="22"/>
        </w:rPr>
        <w:t>„</w:t>
      </w:r>
      <w:r w:rsidR="00C56384" w:rsidRPr="007121DF">
        <w:rPr>
          <w:rFonts w:cs="Arial"/>
          <w:i/>
          <w:szCs w:val="22"/>
        </w:rPr>
        <w:t xml:space="preserve">Zájemcům o </w:t>
      </w:r>
      <w:r w:rsidR="007A329B" w:rsidRPr="007121DF">
        <w:rPr>
          <w:rFonts w:cs="Arial"/>
          <w:i/>
          <w:szCs w:val="22"/>
        </w:rPr>
        <w:t xml:space="preserve">skládání zkoušky pod hlavičkou ČBA tak </w:t>
      </w:r>
      <w:r w:rsidR="00C56384" w:rsidRPr="007121DF">
        <w:rPr>
          <w:rFonts w:cs="Arial"/>
          <w:i/>
          <w:szCs w:val="22"/>
        </w:rPr>
        <w:t>nabízíme</w:t>
      </w:r>
      <w:r w:rsidR="005161D9" w:rsidRPr="007121DF">
        <w:rPr>
          <w:rFonts w:cs="Arial"/>
          <w:i/>
          <w:szCs w:val="22"/>
        </w:rPr>
        <w:t xml:space="preserve"> </w:t>
      </w:r>
      <w:r w:rsidR="0046741A" w:rsidRPr="007121DF">
        <w:rPr>
          <w:rFonts w:cs="Arial"/>
          <w:i/>
          <w:szCs w:val="22"/>
        </w:rPr>
        <w:t xml:space="preserve">v rámci ceny za zkoušku </w:t>
      </w:r>
      <w:r w:rsidR="007A329B" w:rsidRPr="007121DF">
        <w:rPr>
          <w:rFonts w:cs="Arial"/>
          <w:i/>
          <w:szCs w:val="22"/>
        </w:rPr>
        <w:t xml:space="preserve">nejen cvičné testy generované přesně dle parametrů </w:t>
      </w:r>
      <w:r w:rsidR="0046741A" w:rsidRPr="007121DF">
        <w:rPr>
          <w:rFonts w:cs="Arial"/>
          <w:i/>
          <w:szCs w:val="22"/>
        </w:rPr>
        <w:t>stanovených vyhláškou ČNB</w:t>
      </w:r>
      <w:r w:rsidR="007A329B" w:rsidRPr="007121DF">
        <w:rPr>
          <w:rFonts w:cs="Arial"/>
          <w:i/>
          <w:szCs w:val="22"/>
        </w:rPr>
        <w:t xml:space="preserve">, ale také </w:t>
      </w:r>
      <w:proofErr w:type="spellStart"/>
      <w:r w:rsidR="007A329B" w:rsidRPr="007121DF">
        <w:rPr>
          <w:rFonts w:cs="Arial"/>
          <w:i/>
          <w:szCs w:val="22"/>
        </w:rPr>
        <w:t>minitesty</w:t>
      </w:r>
      <w:proofErr w:type="spellEnd"/>
      <w:r w:rsidR="007A329B" w:rsidRPr="007121DF">
        <w:rPr>
          <w:rFonts w:cs="Arial"/>
          <w:i/>
          <w:szCs w:val="22"/>
        </w:rPr>
        <w:t xml:space="preserve">, kvízy i </w:t>
      </w:r>
      <w:r w:rsidR="0046741A" w:rsidRPr="007121DF">
        <w:rPr>
          <w:rFonts w:cs="Arial"/>
          <w:i/>
          <w:szCs w:val="22"/>
        </w:rPr>
        <w:t xml:space="preserve">velmi </w:t>
      </w:r>
      <w:r w:rsidR="007A329B" w:rsidRPr="007121DF">
        <w:rPr>
          <w:rFonts w:cs="Arial"/>
          <w:i/>
          <w:szCs w:val="22"/>
        </w:rPr>
        <w:t xml:space="preserve">kvalitní </w:t>
      </w:r>
      <w:r w:rsidR="00816E15" w:rsidRPr="007121DF">
        <w:rPr>
          <w:rFonts w:cs="Arial"/>
          <w:i/>
          <w:szCs w:val="22"/>
        </w:rPr>
        <w:t>e-learningovou příprav</w:t>
      </w:r>
      <w:r w:rsidR="007A329B" w:rsidRPr="007121DF">
        <w:rPr>
          <w:rFonts w:cs="Arial"/>
          <w:i/>
          <w:szCs w:val="22"/>
        </w:rPr>
        <w:t>u</w:t>
      </w:r>
      <w:r w:rsidR="006E2400" w:rsidRPr="007121DF">
        <w:rPr>
          <w:rFonts w:cs="Arial"/>
          <w:i/>
          <w:szCs w:val="22"/>
        </w:rPr>
        <w:t>,</w:t>
      </w:r>
      <w:r w:rsidR="0046741A" w:rsidRPr="007121DF">
        <w:rPr>
          <w:rFonts w:cs="Arial"/>
          <w:i/>
          <w:szCs w:val="22"/>
        </w:rPr>
        <w:t xml:space="preserve"> jež bude v následujícím měsíci doplněna o mobilní aplikac</w:t>
      </w:r>
      <w:r w:rsidR="00864FA8">
        <w:rPr>
          <w:rFonts w:cs="Arial"/>
          <w:i/>
          <w:szCs w:val="22"/>
        </w:rPr>
        <w:t>i</w:t>
      </w:r>
      <w:r w:rsidR="00760B61">
        <w:rPr>
          <w:rFonts w:cs="Arial"/>
          <w:i/>
          <w:szCs w:val="22"/>
        </w:rPr>
        <w:t>.</w:t>
      </w:r>
      <w:r w:rsidR="00816E15" w:rsidRPr="007121DF">
        <w:rPr>
          <w:rFonts w:cs="Arial"/>
          <w:szCs w:val="22"/>
        </w:rPr>
        <w:t>“</w:t>
      </w:r>
    </w:p>
    <w:p w14:paraId="1E9F6496" w14:textId="5CB5CE46" w:rsidR="00BE3A6F" w:rsidRDefault="00BE3A6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cs="Arial"/>
          <w:szCs w:val="22"/>
          <w:highlight w:val="yellow"/>
        </w:rPr>
      </w:pPr>
      <w:r>
        <w:rPr>
          <w:rFonts w:cs="Arial"/>
          <w:szCs w:val="22"/>
          <w:highlight w:val="yellow"/>
        </w:rPr>
        <w:br w:type="page"/>
      </w:r>
    </w:p>
    <w:tbl>
      <w:tblPr>
        <w:tblpPr w:leftFromText="141" w:rightFromText="141" w:vertAnchor="text" w:horzAnchor="margin" w:tblpY="-29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1355"/>
        <w:gridCol w:w="2136"/>
        <w:gridCol w:w="1161"/>
        <w:gridCol w:w="1355"/>
        <w:gridCol w:w="2136"/>
        <w:gridCol w:w="1161"/>
      </w:tblGrid>
      <w:tr w:rsidR="00BE3A6F" w14:paraId="777C119F" w14:textId="77777777" w:rsidTr="00BE3A6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71F0677" w14:textId="77777777" w:rsidR="00BE3A6F" w:rsidRDefault="00BE3A6F" w:rsidP="00BE3A6F">
            <w:pPr>
              <w:rPr>
                <w:color w:val="000000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C47CCE3" w14:textId="77777777" w:rsidR="00BE3A6F" w:rsidRDefault="00BE3A6F" w:rsidP="00BE3A6F">
            <w:pPr>
              <w:jc w:val="center"/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všechny akreditované osoby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30905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98BE926" w14:textId="77777777" w:rsidR="00BE3A6F" w:rsidRDefault="00BE3A6F" w:rsidP="00BE3A6F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ČBA </w:t>
            </w:r>
            <w:proofErr w:type="spellStart"/>
            <w:r>
              <w:rPr>
                <w:b/>
                <w:bCs/>
                <w:color w:val="FFFFFF"/>
              </w:rPr>
              <w:t>Educa</w:t>
            </w:r>
            <w:proofErr w:type="spellEnd"/>
          </w:p>
        </w:tc>
      </w:tr>
      <w:tr w:rsidR="00BE3A6F" w14:paraId="22B836E0" w14:textId="77777777" w:rsidTr="00BE3A6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DBCF127" w14:textId="77777777" w:rsidR="00BE3A6F" w:rsidRDefault="00BE3A6F" w:rsidP="00BE3A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Období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47C50B2" w14:textId="77777777" w:rsidR="00BE3A6F" w:rsidRDefault="00BE3A6F" w:rsidP="00BE3A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počet zkoušek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03062F4" w14:textId="77777777" w:rsidR="00BE3A6F" w:rsidRDefault="00BE3A6F" w:rsidP="00BE3A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počet úspěšných zkoušek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B50FD83" w14:textId="77777777" w:rsidR="00BE3A6F" w:rsidRDefault="00BE3A6F" w:rsidP="00BE3A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úspěšnost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30905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D1A6061" w14:textId="77777777" w:rsidR="00BE3A6F" w:rsidRDefault="00BE3A6F" w:rsidP="00BE3A6F">
            <w:pPr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počet zkoušek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30905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7F0689D" w14:textId="77777777" w:rsidR="00BE3A6F" w:rsidRDefault="00BE3A6F" w:rsidP="00BE3A6F">
            <w:pPr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počet úspěšných zkoušek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30905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CEA4725" w14:textId="77777777" w:rsidR="00BE3A6F" w:rsidRDefault="00BE3A6F" w:rsidP="00BE3A6F">
            <w:pPr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úspěšnost</w:t>
            </w:r>
          </w:p>
        </w:tc>
      </w:tr>
      <w:tr w:rsidR="00BE3A6F" w14:paraId="0D94DFEB" w14:textId="77777777" w:rsidTr="00BE3A6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01E0073" w14:textId="77777777" w:rsidR="00BE3A6F" w:rsidRDefault="00BE3A6F" w:rsidP="00BE3A6F">
            <w:pPr>
              <w:jc w:val="right"/>
            </w:pPr>
            <w: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2E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A0403C8" w14:textId="77777777" w:rsidR="00BE3A6F" w:rsidRDefault="00BE3A6F" w:rsidP="00BE3A6F">
            <w:pPr>
              <w:jc w:val="right"/>
            </w:pPr>
            <w:r>
              <w:t>12 759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2E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711FEDA" w14:textId="77777777" w:rsidR="00BE3A6F" w:rsidRDefault="00BE3A6F" w:rsidP="00BE3A6F">
            <w:pPr>
              <w:jc w:val="right"/>
            </w:pPr>
            <w:r>
              <w:t>9 792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2E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86AB9F3" w14:textId="77777777" w:rsidR="00BE3A6F" w:rsidRDefault="00BE3A6F" w:rsidP="00BE3A6F">
            <w:pPr>
              <w:jc w:val="right"/>
            </w:pPr>
            <w:r>
              <w:t>76,75 %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4E2B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16C876E" w14:textId="77777777" w:rsidR="00BE3A6F" w:rsidRDefault="00BE3A6F" w:rsidP="00BE3A6F">
            <w:pPr>
              <w:jc w:val="right"/>
            </w:pPr>
            <w:r>
              <w:t>2 711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4E2B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B944CDE" w14:textId="77777777" w:rsidR="00BE3A6F" w:rsidRDefault="00BE3A6F" w:rsidP="00BE3A6F">
            <w:pPr>
              <w:jc w:val="right"/>
            </w:pPr>
            <w:r>
              <w:t>2 307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4E2B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355CC8D" w14:textId="77777777" w:rsidR="00BE3A6F" w:rsidRDefault="00BE3A6F" w:rsidP="00BE3A6F">
            <w:pPr>
              <w:jc w:val="right"/>
            </w:pPr>
            <w:r>
              <w:t>85,10 %</w:t>
            </w:r>
          </w:p>
        </w:tc>
      </w:tr>
      <w:tr w:rsidR="00BE3A6F" w14:paraId="2DBF1A4A" w14:textId="77777777" w:rsidTr="00BE3A6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35EF1AC" w14:textId="77777777" w:rsidR="00BE3A6F" w:rsidRDefault="00BE3A6F" w:rsidP="00BE3A6F">
            <w:pPr>
              <w:jc w:val="right"/>
            </w:pPr>
            <w: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2E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C6A08E9" w14:textId="77777777" w:rsidR="00BE3A6F" w:rsidRDefault="00BE3A6F" w:rsidP="00BE3A6F">
            <w:pPr>
              <w:jc w:val="right"/>
            </w:pPr>
            <w:r>
              <w:t>53 922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2E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AE499AD" w14:textId="77777777" w:rsidR="00BE3A6F" w:rsidRDefault="00BE3A6F" w:rsidP="00BE3A6F">
            <w:pPr>
              <w:jc w:val="right"/>
            </w:pPr>
            <w:r>
              <w:t>36 285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2E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EE8632F" w14:textId="77777777" w:rsidR="00BE3A6F" w:rsidRDefault="00BE3A6F" w:rsidP="00BE3A6F">
            <w:pPr>
              <w:jc w:val="right"/>
            </w:pPr>
            <w:r>
              <w:t>67,29 %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4E2B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431B3AE" w14:textId="77777777" w:rsidR="00BE3A6F" w:rsidRDefault="00BE3A6F" w:rsidP="00BE3A6F">
            <w:pPr>
              <w:jc w:val="right"/>
            </w:pPr>
            <w:r>
              <w:t>20 430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4E2B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1C6D722" w14:textId="77777777" w:rsidR="00BE3A6F" w:rsidRDefault="00BE3A6F" w:rsidP="00BE3A6F">
            <w:pPr>
              <w:jc w:val="right"/>
            </w:pPr>
            <w:r>
              <w:t>13 898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4E2B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437DA50" w14:textId="77777777" w:rsidR="00BE3A6F" w:rsidRDefault="00BE3A6F" w:rsidP="00BE3A6F">
            <w:pPr>
              <w:jc w:val="right"/>
            </w:pPr>
            <w:r>
              <w:t>68,03 %</w:t>
            </w:r>
          </w:p>
        </w:tc>
      </w:tr>
      <w:tr w:rsidR="00BE3A6F" w14:paraId="0BFDE645" w14:textId="77777777" w:rsidTr="00BE3A6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7605098" w14:textId="77777777" w:rsidR="00BE3A6F" w:rsidRDefault="00BE3A6F" w:rsidP="00BE3A6F">
            <w:pPr>
              <w:jc w:val="right"/>
            </w:pPr>
            <w:r>
              <w:t xml:space="preserve">Celkem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2E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500842C" w14:textId="77777777" w:rsidR="00BE3A6F" w:rsidRDefault="00BE3A6F" w:rsidP="00BE3A6F">
            <w:pPr>
              <w:jc w:val="right"/>
            </w:pPr>
            <w:r>
              <w:t>66 681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2E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FDB8B96" w14:textId="77777777" w:rsidR="00BE3A6F" w:rsidRDefault="00BE3A6F" w:rsidP="00BE3A6F">
            <w:pPr>
              <w:jc w:val="right"/>
            </w:pPr>
            <w:r>
              <w:t>46 077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2E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486E026" w14:textId="77777777" w:rsidR="00BE3A6F" w:rsidRDefault="00BE3A6F" w:rsidP="00BE3A6F">
            <w:pPr>
              <w:jc w:val="right"/>
            </w:pPr>
            <w:r>
              <w:t>69,10 %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4E2B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551BF70" w14:textId="77777777" w:rsidR="00BE3A6F" w:rsidRDefault="00BE3A6F" w:rsidP="00BE3A6F">
            <w:pPr>
              <w:jc w:val="right"/>
            </w:pPr>
            <w:r>
              <w:t>23 141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4E2B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C29F6EA" w14:textId="77777777" w:rsidR="00BE3A6F" w:rsidRDefault="00BE3A6F" w:rsidP="00BE3A6F">
            <w:pPr>
              <w:jc w:val="right"/>
            </w:pPr>
            <w:r>
              <w:t>16 205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4E2B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0F256F0" w14:textId="77777777" w:rsidR="00BE3A6F" w:rsidRDefault="00BE3A6F" w:rsidP="00BE3A6F">
            <w:pPr>
              <w:jc w:val="right"/>
            </w:pPr>
            <w:r>
              <w:t>70,03 %</w:t>
            </w:r>
          </w:p>
        </w:tc>
      </w:tr>
    </w:tbl>
    <w:p w14:paraId="26EE3655" w14:textId="1BAE8E65" w:rsidR="008C161D" w:rsidRPr="00CB0507" w:rsidRDefault="004F0229" w:rsidP="00224655">
      <w:pPr>
        <w:spacing w:after="120"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Tab. Č. 1: Počet celkových zkoušek u všech akreditovaných osob a ČBA </w:t>
      </w:r>
      <w:proofErr w:type="spellStart"/>
      <w:r>
        <w:rPr>
          <w:rFonts w:cs="Arial"/>
          <w:szCs w:val="22"/>
        </w:rPr>
        <w:t>Educa</w:t>
      </w:r>
      <w:proofErr w:type="spellEnd"/>
    </w:p>
    <w:p w14:paraId="1862B7DC" w14:textId="77777777" w:rsidR="00A2201D" w:rsidRDefault="00A2201D" w:rsidP="00224655">
      <w:pPr>
        <w:spacing w:after="120" w:line="276" w:lineRule="auto"/>
        <w:rPr>
          <w:rFonts w:cs="Arial"/>
          <w:szCs w:val="22"/>
        </w:rPr>
      </w:pPr>
    </w:p>
    <w:p w14:paraId="013F6215" w14:textId="3B45A154" w:rsidR="00224655" w:rsidRDefault="00224655" w:rsidP="00224655">
      <w:pPr>
        <w:spacing w:after="120" w:line="276" w:lineRule="auto"/>
        <w:rPr>
          <w:rFonts w:cs="Arial"/>
          <w:szCs w:val="22"/>
        </w:rPr>
      </w:pPr>
      <w:r w:rsidRPr="00760B61">
        <w:rPr>
          <w:rFonts w:cs="Arial"/>
          <w:szCs w:val="22"/>
        </w:rPr>
        <w:t xml:space="preserve">Zákon o spotřebitelském úvěru není jediným zákonem, který povinnost vykonat odbornou zkoušku stanoví. V tuto chvíli již běží přechodné dvouleté období pro pracovníky na kapitálovém trhu, kteří </w:t>
      </w:r>
      <w:r w:rsidR="00A2201D">
        <w:rPr>
          <w:rFonts w:cs="Arial"/>
          <w:szCs w:val="22"/>
        </w:rPr>
        <w:t xml:space="preserve">musí </w:t>
      </w:r>
      <w:r w:rsidRPr="00760B61">
        <w:rPr>
          <w:rFonts w:cs="Arial"/>
          <w:szCs w:val="22"/>
        </w:rPr>
        <w:t xml:space="preserve">zkoušku </w:t>
      </w:r>
      <w:r w:rsidR="000E6751" w:rsidRPr="00760B61">
        <w:rPr>
          <w:rFonts w:cs="Arial"/>
          <w:szCs w:val="22"/>
        </w:rPr>
        <w:t xml:space="preserve">odbornosti rozdělenou do dvou typů </w:t>
      </w:r>
      <w:r w:rsidRPr="00760B61">
        <w:rPr>
          <w:rFonts w:cs="Arial"/>
          <w:szCs w:val="22"/>
        </w:rPr>
        <w:t>složit nejpozději do 3. ledna příštího roku. Obdobně jsou na tom i pracovníci v pojišťovnictví, kteří na splnění povinnosti mají vyhrazen</w:t>
      </w:r>
      <w:r w:rsidR="00A2201D">
        <w:rPr>
          <w:rFonts w:cs="Arial"/>
          <w:szCs w:val="22"/>
        </w:rPr>
        <w:t>o</w:t>
      </w:r>
      <w:r w:rsidRPr="00760B61">
        <w:rPr>
          <w:rFonts w:cs="Arial"/>
          <w:szCs w:val="22"/>
        </w:rPr>
        <w:t xml:space="preserve">u lhůtu do </w:t>
      </w:r>
      <w:r w:rsidR="009B317E">
        <w:rPr>
          <w:rFonts w:cs="Arial"/>
          <w:szCs w:val="22"/>
        </w:rPr>
        <w:t>1</w:t>
      </w:r>
      <w:r w:rsidRPr="00760B61">
        <w:rPr>
          <w:rFonts w:cs="Arial"/>
          <w:szCs w:val="22"/>
        </w:rPr>
        <w:t xml:space="preserve">. listopadu 2020, pro ně se otázky a metodické pokyny pro provádění testů na půdě ČNB </w:t>
      </w:r>
      <w:r w:rsidR="00760B61">
        <w:rPr>
          <w:rFonts w:cs="Arial"/>
          <w:szCs w:val="22"/>
        </w:rPr>
        <w:t>momentálně</w:t>
      </w:r>
      <w:r w:rsidRPr="00760B61">
        <w:rPr>
          <w:rFonts w:cs="Arial"/>
          <w:szCs w:val="22"/>
        </w:rPr>
        <w:t xml:space="preserve"> připravují. Již nyní </w:t>
      </w:r>
      <w:r w:rsidR="00760B61">
        <w:rPr>
          <w:rFonts w:cs="Arial"/>
          <w:szCs w:val="22"/>
        </w:rPr>
        <w:t>si</w:t>
      </w:r>
      <w:r w:rsidRPr="00760B61">
        <w:rPr>
          <w:rFonts w:cs="Arial"/>
          <w:szCs w:val="22"/>
        </w:rPr>
        <w:t xml:space="preserve"> však </w:t>
      </w:r>
      <w:r w:rsidR="00760B61">
        <w:rPr>
          <w:rFonts w:cs="Arial"/>
          <w:szCs w:val="22"/>
        </w:rPr>
        <w:t>mohou</w:t>
      </w:r>
      <w:r w:rsidRPr="00760B61">
        <w:rPr>
          <w:rFonts w:cs="Arial"/>
          <w:szCs w:val="22"/>
        </w:rPr>
        <w:t xml:space="preserve"> </w:t>
      </w:r>
      <w:r w:rsidR="000E6751" w:rsidRPr="00760B61">
        <w:rPr>
          <w:rFonts w:cs="Arial"/>
          <w:szCs w:val="22"/>
        </w:rPr>
        <w:t>podle</w:t>
      </w:r>
      <w:r w:rsidR="00E17AFB">
        <w:rPr>
          <w:rFonts w:cs="Arial"/>
          <w:szCs w:val="22"/>
        </w:rPr>
        <w:t xml:space="preserve"> </w:t>
      </w:r>
      <w:hyperlink r:id="rId9" w:history="1">
        <w:r w:rsidR="00E17AFB" w:rsidRPr="00E17AFB">
          <w:rPr>
            <w:rStyle w:val="Hypertextovodkaz"/>
            <w:rFonts w:cs="Arial"/>
            <w:szCs w:val="22"/>
          </w:rPr>
          <w:t>následující tab</w:t>
        </w:r>
        <w:r w:rsidR="00E17AFB" w:rsidRPr="00E17AFB">
          <w:rPr>
            <w:rStyle w:val="Hypertextovodkaz"/>
            <w:rFonts w:cs="Arial"/>
            <w:szCs w:val="22"/>
          </w:rPr>
          <w:t>u</w:t>
        </w:r>
        <w:r w:rsidR="00E17AFB" w:rsidRPr="00E17AFB">
          <w:rPr>
            <w:rStyle w:val="Hypertextovodkaz"/>
            <w:rFonts w:cs="Arial"/>
            <w:szCs w:val="22"/>
          </w:rPr>
          <w:t>lky</w:t>
        </w:r>
      </w:hyperlink>
      <w:r w:rsidR="00E17AFB">
        <w:rPr>
          <w:rFonts w:cs="Arial"/>
          <w:szCs w:val="22"/>
        </w:rPr>
        <w:t xml:space="preserve"> </w:t>
      </w:r>
      <w:r w:rsidRPr="00760B61">
        <w:rPr>
          <w:rFonts w:cs="Arial"/>
          <w:szCs w:val="22"/>
        </w:rPr>
        <w:t xml:space="preserve">udělat názornou představu o tom, s jakými typy zkoušek se </w:t>
      </w:r>
      <w:r w:rsidR="00760B61">
        <w:rPr>
          <w:rFonts w:cs="Arial"/>
          <w:szCs w:val="22"/>
        </w:rPr>
        <w:t>setkají</w:t>
      </w:r>
      <w:r w:rsidRPr="00760B61">
        <w:rPr>
          <w:rFonts w:cs="Arial"/>
          <w:szCs w:val="22"/>
        </w:rPr>
        <w:t xml:space="preserve"> a jaký minimální standard </w:t>
      </w:r>
      <w:r w:rsidR="00760B61">
        <w:rPr>
          <w:rFonts w:cs="Arial"/>
          <w:szCs w:val="22"/>
        </w:rPr>
        <w:t>budou muset</w:t>
      </w:r>
      <w:r w:rsidRPr="00760B61">
        <w:rPr>
          <w:rFonts w:cs="Arial"/>
          <w:szCs w:val="22"/>
        </w:rPr>
        <w:t xml:space="preserve"> splnit k jejich úspěšnému absolvování</w:t>
      </w:r>
      <w:r w:rsidR="000E6751" w:rsidRPr="00760B61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  <w:r>
        <w:t xml:space="preserve"> </w:t>
      </w:r>
    </w:p>
    <w:p w14:paraId="7659A2A3" w14:textId="77777777" w:rsidR="008C161D" w:rsidRDefault="008C161D" w:rsidP="005911FC">
      <w:pPr>
        <w:spacing w:after="120" w:line="276" w:lineRule="auto"/>
        <w:rPr>
          <w:color w:val="000000"/>
          <w:szCs w:val="18"/>
        </w:rPr>
      </w:pPr>
    </w:p>
    <w:p w14:paraId="7A72A4C4" w14:textId="38F37E2F" w:rsidR="005911FC" w:rsidRDefault="005911FC" w:rsidP="005911FC">
      <w:pPr>
        <w:spacing w:after="120" w:line="276" w:lineRule="auto"/>
        <w:rPr>
          <w:color w:val="000000"/>
          <w:szCs w:val="18"/>
        </w:rPr>
      </w:pPr>
    </w:p>
    <w:p w14:paraId="515224F8" w14:textId="46B240C0" w:rsidR="005911FC" w:rsidRPr="00816E15" w:rsidRDefault="005911FC" w:rsidP="006F7DF9">
      <w:pPr>
        <w:spacing w:after="120" w:line="276" w:lineRule="auto"/>
        <w:rPr>
          <w:rFonts w:cs="Arial"/>
          <w:szCs w:val="22"/>
        </w:rPr>
      </w:pPr>
    </w:p>
    <w:p w14:paraId="146E7C5C" w14:textId="17580D86" w:rsidR="00816E15" w:rsidRDefault="00711D7C" w:rsidP="006F7DF9">
      <w:pPr>
        <w:spacing w:after="120"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14:paraId="289F23F6" w14:textId="3E04A1FD" w:rsidR="00711D7C" w:rsidRDefault="00711D7C" w:rsidP="00B27646">
      <w:pPr>
        <w:rPr>
          <w:rFonts w:cs="Arial"/>
          <w:szCs w:val="22"/>
        </w:rPr>
      </w:pPr>
    </w:p>
    <w:p w14:paraId="0028EE8A" w14:textId="48AFEA7E" w:rsidR="006D0AF2" w:rsidRDefault="006D0AF2" w:rsidP="00B27646">
      <w:pPr>
        <w:rPr>
          <w:rFonts w:cs="Arial"/>
          <w:szCs w:val="22"/>
        </w:rPr>
      </w:pPr>
    </w:p>
    <w:p w14:paraId="334A7098" w14:textId="7FBFD45B" w:rsidR="00714837" w:rsidRDefault="00714837" w:rsidP="00F67E6A">
      <w:pPr>
        <w:rPr>
          <w:rFonts w:cs="Arial"/>
          <w:szCs w:val="22"/>
        </w:rPr>
      </w:pPr>
    </w:p>
    <w:p w14:paraId="1AE6FC8E" w14:textId="703CA66A" w:rsidR="005C1943" w:rsidRPr="00517111" w:rsidRDefault="008C161D" w:rsidP="00F67E6A">
      <w:pPr>
        <w:rPr>
          <w:rFonts w:eastAsiaTheme="minorEastAsia" w:cs="Arial"/>
        </w:rPr>
      </w:pPr>
      <w:r w:rsidRPr="005A44FF">
        <w:rPr>
          <w:rFonts w:eastAsiaTheme="minorEastAsia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4CFB74" wp14:editId="4D9C64DD">
                <wp:simplePos x="0" y="0"/>
                <wp:positionH relativeFrom="margin">
                  <wp:posOffset>-64135</wp:posOffset>
                </wp:positionH>
                <wp:positionV relativeFrom="paragraph">
                  <wp:posOffset>211455</wp:posOffset>
                </wp:positionV>
                <wp:extent cx="6588125" cy="2152650"/>
                <wp:effectExtent l="0" t="0" r="3175" b="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8125" cy="2152650"/>
                        </a:xfrm>
                        <a:prstGeom prst="rect">
                          <a:avLst/>
                        </a:prstGeom>
                        <a:solidFill>
                          <a:srgbClr val="30905F">
                            <a:alpha val="5882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E20FA0" w14:textId="164E0606" w:rsidR="008C161D" w:rsidRPr="00760B61" w:rsidRDefault="008C161D" w:rsidP="008C161D">
                            <w:pPr>
                              <w:spacing w:line="276" w:lineRule="auto"/>
                              <w:rPr>
                                <w:b/>
                                <w:sz w:val="20"/>
                              </w:rPr>
                            </w:pPr>
                            <w:r w:rsidRPr="00760B61">
                              <w:rPr>
                                <w:b/>
                                <w:sz w:val="20"/>
                              </w:rPr>
                              <w:t>O odborných zkouškách</w:t>
                            </w:r>
                            <w:r w:rsidR="00BE3A6F">
                              <w:rPr>
                                <w:b/>
                                <w:sz w:val="20"/>
                              </w:rPr>
                              <w:t xml:space="preserve"> – spotřebitelské úvěry</w:t>
                            </w:r>
                          </w:p>
                          <w:p w14:paraId="117E2FAA" w14:textId="77777777" w:rsidR="008C161D" w:rsidRPr="008C161D" w:rsidRDefault="008C161D" w:rsidP="008C161D">
                            <w:pPr>
                              <w:spacing w:after="120" w:line="276" w:lineRule="auto"/>
                            </w:pPr>
                            <w:r w:rsidRPr="008C161D">
                              <w:t xml:space="preserve">Pracovníci na trhu spotřebitelských úvěrů mohou dle rozsahu své činnosti konat čtyři typy zkoušek – Spotřebitelské úvěry na bydlení, Spotřebitelské úvěry jiné než na bydlení, Vázané spotřebitelské úvěry (které jsou podmnožinou Spotřebitelských úvěrů jiných než na bydlení, ale je možné je skládat samostatnou zkoušku s tímto neužším zaměřením), anebo tzv. Kombinovanou zkoušku, která zahrnuje kompletní spektrum spotřebitelských úvěrů. </w:t>
                            </w:r>
                          </w:p>
                          <w:p w14:paraId="30F74BA0" w14:textId="77777777" w:rsidR="008C161D" w:rsidRPr="004A3B58" w:rsidRDefault="008C161D" w:rsidP="008C161D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t>Soubor otázek používaných ke generování testů akreditovanými osobami je jednoznačně dán a pochází ze společné dílny České národní banky a Ministerstva financí ČR. Minimální standard úspěšného splnění zkoušky je také stanoven jednotně pro každý typ zkoušky, a to příslušnou prováděcí vyhláškou ČNB. Je jím kumulativní splnění tří podmínek:</w:t>
                            </w:r>
                          </w:p>
                          <w:p w14:paraId="1A1CFBD0" w14:textId="51D1657A" w:rsidR="008C161D" w:rsidRDefault="00BE3A6F" w:rsidP="008C161D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3/5 </w:t>
                            </w:r>
                            <w:r w:rsidR="008C161D" w:rsidRPr="004A3B58">
                              <w:t>úspěšnost v otázkách ze znalostí (ty obsahují mj. i otázky s možností více správných odpovědí, které jsou z pohledu účastníků jednoznačně nejobtížnější)</w:t>
                            </w:r>
                            <w:r w:rsidR="008C161D">
                              <w:t>,</w:t>
                            </w:r>
                          </w:p>
                          <w:p w14:paraId="64F5275D" w14:textId="614AF519" w:rsidR="008C161D" w:rsidRDefault="00BE3A6F" w:rsidP="008C161D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3/5 </w:t>
                            </w:r>
                            <w:r w:rsidR="008C161D" w:rsidRPr="004A3B58">
                              <w:t>úspěšnost v otázkách z dovedností (vždy pět otázek vycházejících z jednoho zadání případové studie)</w:t>
                            </w:r>
                            <w:r w:rsidR="008C161D">
                              <w:t>,</w:t>
                            </w:r>
                          </w:p>
                          <w:p w14:paraId="2BF3FB98" w14:textId="3622912D" w:rsidR="008C161D" w:rsidRDefault="00BE3A6F" w:rsidP="008C161D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3/4 </w:t>
                            </w:r>
                            <w:r w:rsidR="008C161D" w:rsidRPr="004A3B58">
                              <w:t>úspěšnost celkem</w:t>
                            </w:r>
                            <w:r w:rsidR="008C161D">
                              <w:t>.</w:t>
                            </w:r>
                          </w:p>
                          <w:p w14:paraId="61DAC873" w14:textId="71ECC81A" w:rsidR="008C161D" w:rsidRPr="00F67E6A" w:rsidRDefault="008C161D" w:rsidP="008C161D">
                            <w:pPr>
                              <w:pStyle w:val="Standard"/>
                              <w:spacing w:line="276" w:lineRule="auto"/>
                              <w:ind w:left="28" w:hanging="28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CFB74" id="Obdélník 1" o:spid="_x0000_s1027" style="position:absolute;left:0;text-align:left;margin-left:-5.05pt;margin-top:16.65pt;width:518.75pt;height:169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IzfsgIAALwFAAAOAAAAZHJzL2Uyb0RvYy54bWysVM1u2zAMvg/YOwi6r/7ZUmRBnSJokWFA&#10;0RZLh54VWY6NyaImKbGzN9phT9EXGyXZ7s+KHYbl4JAS+ZH8RPLsvG8lOQhjG1AFzU5SSoTiUDZq&#10;V9Cvd+t3c0qsY6pkEpQo6FFYer58++as0wuRQw2yFIYgiLKLThe0dk4vksTyWrTMnoAWCi8rMC1z&#10;qJpdUhrWIXorkzxNT5MOTKkNcGEtnl7GS7oM+FUluLupKisckQXF3Fz4mvDd+m+yPGOLnWG6bviQ&#10;BvuHLFrWKAw6QV0yx8jeNH9AtQ03YKFyJxzaBKqq4SLUgNVk6YtqNjXTItSC5Fg90WT/Hyy/Ptwa&#10;0pT4dpQo1uIT3WzLh59SPfz6RjLPT6ftAs02+tYMmkXRF9tXpvX/WAbpA6fHiVPRO8Lx8HQ2n2f5&#10;jBKOd3k2y09ngfXk0V0b6z4JaIkXCmrw0QKX7HBlHYZE09HER7Mgm3LdSBkUs9teSEMODB/4ffox&#10;na2jr9Q1i6eYQP7BF4I4NppH+SmOVB5NgceNpv4k8bXHaoPkjlJ4O6m+iApZw/ryEC70q5gSYZwL&#10;5bJ4VbNSDJmk+Bsz8R3uPUIuAdAjVxh/wh4ARssIMmLHLAd77ypCu0/O6d8Si86TR4gMyk3ObaPA&#10;vAYgsaohcrQfSYrUeJZcv+2HjkJLf7KF8ohdZiCOn9V83eBTXzHrbpnBecPJxB3ibvBTSegKCoNE&#10;SQ3mx2vn3h7HAG8p6XB+C2q/75kRlMjPCgckS+eebOKeaeaZtn2mqX17AdhFOAiYYRDR3zg5ipWB&#10;9h7XzcpHxiumOMYvqBvFCxc3C64rLlarYIRjrpm7UhvNPbRn2jfzXX/PjB463uGwXMM47WzxovGj&#10;rfdUsNo7qJowFY/MDm+AKyI007DO/A56qgerx6W7/A0AAP//AwBQSwMEFAAGAAgAAAAhABGupc7h&#10;AAAACwEAAA8AAABkcnMvZG93bnJldi54bWxMj8FOwzAMhu9IvENkJG5b0hY6VJpOCAkkLkhsk7im&#10;jWmqNU5psq7b05OdxtH2p9/fX65n27MJR985kpAsBTCkxumOWgm77dviCZgPirTqHaGEE3pYV7c3&#10;pSq0O9IXTpvQshhCvlASTAhDwblvDFrll25AircfN1oV4ji2XI/qGMNtz1Mhcm5VR/GDUQO+Gmz2&#10;m4OV8Jmbj3p/Ouc7at6z3+9pS4/DWcr7u/nlGVjAOVxhuOhHdaiiU+0OpD3rJSwSkURUQpZlwC6A&#10;SFcPwOq4WaUZ8Krk/ztUfwAAAP//AwBQSwECLQAUAAYACAAAACEAtoM4kv4AAADhAQAAEwAAAAAA&#10;AAAAAAAAAAAAAAAAW0NvbnRlbnRfVHlwZXNdLnhtbFBLAQItABQABgAIAAAAIQA4/SH/1gAAAJQB&#10;AAALAAAAAAAAAAAAAAAAAC8BAABfcmVscy8ucmVsc1BLAQItABQABgAIAAAAIQCz7IzfsgIAALwF&#10;AAAOAAAAAAAAAAAAAAAAAC4CAABkcnMvZTJvRG9jLnhtbFBLAQItABQABgAIAAAAIQARrqXO4QAA&#10;AAsBAAAPAAAAAAAAAAAAAAAAAAwFAABkcnMvZG93bnJldi54bWxQSwUGAAAAAAQABADzAAAAGgYA&#10;AAAA&#10;" fillcolor="#30905f" stroked="f" strokeweight="1pt">
                <v:fill opacity="38550f"/>
                <v:textbox inset="3mm,3mm,3mm,3mm">
                  <w:txbxContent>
                    <w:p w14:paraId="0EE20FA0" w14:textId="164E0606" w:rsidR="008C161D" w:rsidRPr="00760B61" w:rsidRDefault="008C161D" w:rsidP="008C161D">
                      <w:pPr>
                        <w:spacing w:line="276" w:lineRule="auto"/>
                        <w:rPr>
                          <w:b/>
                          <w:sz w:val="20"/>
                        </w:rPr>
                      </w:pPr>
                      <w:r w:rsidRPr="00760B61">
                        <w:rPr>
                          <w:b/>
                          <w:sz w:val="20"/>
                        </w:rPr>
                        <w:t>O odborných zkouškách</w:t>
                      </w:r>
                      <w:r w:rsidR="00BE3A6F">
                        <w:rPr>
                          <w:b/>
                          <w:sz w:val="20"/>
                        </w:rPr>
                        <w:t xml:space="preserve"> – spotřebitelské úvěry</w:t>
                      </w:r>
                    </w:p>
                    <w:p w14:paraId="117E2FAA" w14:textId="77777777" w:rsidR="008C161D" w:rsidRPr="008C161D" w:rsidRDefault="008C161D" w:rsidP="008C161D">
                      <w:pPr>
                        <w:spacing w:after="120" w:line="276" w:lineRule="auto"/>
                      </w:pPr>
                      <w:r w:rsidRPr="008C161D">
                        <w:t xml:space="preserve">Pracovníci na trhu spotřebitelských úvěrů mohou dle rozsahu své činnosti konat čtyři typy zkoušek – Spotřebitelské úvěry na bydlení, Spotřebitelské úvěry jiné než na bydlení, Vázané spotřebitelské úvěry (které jsou podmnožinou Spotřebitelských úvěrů jiných než na bydlení, ale je možné je skládat samostatnou zkoušku s tímto neužším zaměřením), anebo tzv. Kombinovanou zkoušku, která zahrnuje kompletní spektrum spotřebitelských úvěrů. </w:t>
                      </w:r>
                    </w:p>
                    <w:p w14:paraId="30F74BA0" w14:textId="77777777" w:rsidR="008C161D" w:rsidRPr="004A3B58" w:rsidRDefault="008C161D" w:rsidP="008C161D">
                      <w:pPr>
                        <w:rPr>
                          <w:rFonts w:ascii="Calibri" w:hAnsi="Calibri"/>
                          <w:sz w:val="22"/>
                        </w:rPr>
                      </w:pPr>
                      <w:r>
                        <w:t>Soubor otázek používaných ke generování testů akreditovanými osobami je jednoznačně dán a pochází ze společné dílny České národní banky a Ministerstva financí ČR. Minimální standard úspěšného splnění zkoušky je také stanoven jednotně pro každý typ zkoušky, a to příslušnou prováděcí vyhláškou ČNB. Je jím kumulativní splnění tří podmínek:</w:t>
                      </w:r>
                    </w:p>
                    <w:p w14:paraId="1A1CFBD0" w14:textId="51D1657A" w:rsidR="008C161D" w:rsidRDefault="00BE3A6F" w:rsidP="008C161D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</w:pPr>
                      <w:r>
                        <w:t xml:space="preserve">3/5 </w:t>
                      </w:r>
                      <w:r w:rsidR="008C161D" w:rsidRPr="004A3B58">
                        <w:t>úspěšnost v otázkách ze znalostí (ty obsahují mj. i otázky s možností více správných odpovědí, které jsou z pohledu účastníků jednoznačně nejobtížnější)</w:t>
                      </w:r>
                      <w:r w:rsidR="008C161D">
                        <w:t>,</w:t>
                      </w:r>
                    </w:p>
                    <w:p w14:paraId="64F5275D" w14:textId="614AF519" w:rsidR="008C161D" w:rsidRDefault="00BE3A6F" w:rsidP="008C161D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</w:pPr>
                      <w:r>
                        <w:t xml:space="preserve">3/5 </w:t>
                      </w:r>
                      <w:r w:rsidR="008C161D" w:rsidRPr="004A3B58">
                        <w:t>úspěšnost v otázkách z dovedností (vždy pět otázek vycházejících z jednoho zadání případové studie)</w:t>
                      </w:r>
                      <w:r w:rsidR="008C161D">
                        <w:t>,</w:t>
                      </w:r>
                    </w:p>
                    <w:p w14:paraId="2BF3FB98" w14:textId="3622912D" w:rsidR="008C161D" w:rsidRDefault="00BE3A6F" w:rsidP="008C161D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</w:pPr>
                      <w:r>
                        <w:t xml:space="preserve">3/4 </w:t>
                      </w:r>
                      <w:r w:rsidR="008C161D" w:rsidRPr="004A3B58">
                        <w:t>úspěšnost celkem</w:t>
                      </w:r>
                      <w:r w:rsidR="008C161D">
                        <w:t>.</w:t>
                      </w:r>
                    </w:p>
                    <w:p w14:paraId="61DAC873" w14:textId="71ECC81A" w:rsidR="008C161D" w:rsidRPr="00F67E6A" w:rsidRDefault="008C161D" w:rsidP="008C161D">
                      <w:pPr>
                        <w:pStyle w:val="Standard"/>
                        <w:spacing w:line="276" w:lineRule="auto"/>
                        <w:ind w:left="28" w:hanging="28"/>
                        <w:jc w:val="left"/>
                        <w:rPr>
                          <w:rFonts w:cs="Arial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A44FF">
        <w:rPr>
          <w:rFonts w:eastAsiaTheme="minorEastAsia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1A5361" wp14:editId="273AF555">
                <wp:simplePos x="0" y="0"/>
                <wp:positionH relativeFrom="margin">
                  <wp:posOffset>4291965</wp:posOffset>
                </wp:positionH>
                <wp:positionV relativeFrom="paragraph">
                  <wp:posOffset>2509520</wp:posOffset>
                </wp:positionV>
                <wp:extent cx="2235200" cy="1637665"/>
                <wp:effectExtent l="0" t="0" r="0" b="635"/>
                <wp:wrapNone/>
                <wp:docPr id="200" name="Obdélník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1637665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4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C95292" w14:textId="77777777" w:rsidR="00044002" w:rsidRPr="005A44FF" w:rsidRDefault="00044002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187194D7" w14:textId="77777777" w:rsidR="00044002" w:rsidRPr="005A44FF" w:rsidRDefault="00044002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5867C1DD" w14:textId="77777777" w:rsidR="00044002" w:rsidRPr="003D3951" w:rsidRDefault="00044002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</w:p>
                          <w:p w14:paraId="1F85193F" w14:textId="77777777" w:rsidR="00044002" w:rsidRPr="005A44FF" w:rsidRDefault="00044002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noProof/>
                                <w:szCs w:val="18"/>
                              </w:rPr>
                              <w:t xml:space="preserve">Monika Petrásková, </w:t>
                            </w:r>
                          </w:p>
                          <w:p w14:paraId="5026572F" w14:textId="77777777" w:rsidR="00044002" w:rsidRPr="005A44FF" w:rsidRDefault="00044002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noProof/>
                                <w:szCs w:val="18"/>
                              </w:rPr>
                              <w:t>m</w:t>
                            </w:r>
                            <w:proofErr w:type="spellStart"/>
                            <w:r w:rsidRPr="005A44FF">
                              <w:rPr>
                                <w:rFonts w:cs="Arial"/>
                                <w:szCs w:val="18"/>
                              </w:rPr>
                              <w:t>anažerka</w:t>
                            </w:r>
                            <w:proofErr w:type="spellEnd"/>
                            <w:r w:rsidRPr="005A44FF">
                              <w:rPr>
                                <w:rFonts w:cs="Arial"/>
                                <w:szCs w:val="18"/>
                              </w:rPr>
                              <w:t xml:space="preserve"> PR a komunikace ČBA</w:t>
                            </w:r>
                          </w:p>
                          <w:p w14:paraId="69EB82FC" w14:textId="77777777" w:rsidR="00044002" w:rsidRPr="005A44FF" w:rsidRDefault="00044002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szCs w:val="18"/>
                              </w:rPr>
                              <w:t>petraskova@czech-ba.cz</w:t>
                            </w:r>
                          </w:p>
                          <w:p w14:paraId="0B0CE061" w14:textId="77777777" w:rsidR="00044002" w:rsidRPr="005A44FF" w:rsidRDefault="00044002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szCs w:val="18"/>
                              </w:rPr>
                              <w:t>tel: + 420 733 130 282</w:t>
                            </w:r>
                          </w:p>
                          <w:p w14:paraId="0808B31F" w14:textId="77777777" w:rsidR="00044002" w:rsidRDefault="00044002" w:rsidP="00044002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A5361" id="Obdélník 200" o:spid="_x0000_s1028" style="position:absolute;left:0;text-align:left;margin-left:337.95pt;margin-top:197.6pt;width:176pt;height:128.9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gXXsgIAAMAFAAAOAAAAZHJzL2Uyb0RvYy54bWysVMFu2zAMvQ/YPwi6r3bSNm2DOkXQrsOA&#10;Yi3WDj0rshQbkyVNUmJnf7TDvqI/NlKy3aUrdhiWg0NK5CP5RPL8omsU2Qrna6MLOjnIKRGam7LW&#10;64J+ebh+d0qJD0yXTBktCroTnl4s3r45b+1cTE1lVCkcARDt560taBWCnWeZ55VomD8wVmi4lMY1&#10;LIDq1lnpWAvojcqmeT7LWuNK6wwX3sPpVbqki4gvpeDhVkovAlEFhdxC/Lr4XeE3W5yz+doxW9W8&#10;T4P9QxYNqzUEHaGuWGBk4+o/oJqaO+ONDAfcNJmRsuYi1gDVTPIX1dxXzIpYC5Dj7UiT/3+w/NP2&#10;zpG6LCiwSYlmDTzS7ap8+qH008+vBE+Bo9b6OZje2zvXax5ELLiTrsF/KIV0kdfdyKvoAuFwOJ0e&#10;Hkd4DneT2eHJbHaMqNmzu3U+fBCmISgU1MHDRT7Z9saHZDqYYDRvVF1e10pFxa1Xl8qRLcNHzk/e&#10;n5wlX2Urlk6Pzk7zoz6kT+Yx/B6O0oimDeKmkHiSYe2p2iiFnRJop/RnIYE5rC+Giz0rxkQY50KH&#10;SbqqWClSJsc5/IZMsMvRI+YSARFZQvwRuwcYLBPIgJ2y7O3RVcSWH53zvyWWnEePGNnoMDo3tTbu&#10;NQAFVfWRk/1AUqIGWQrdqktdhZZ4sjLlDjrNmTSC3vLrGp76hvlwxxzMHHQf7JFwCx+pTFtQ00uU&#10;VMZ9f+0c7WEU4JaSFma4oP7bhjlBifqoYUgm+SmSTcKe5va01Z6mN82lgS6awNayPIrg74IaROlM&#10;8wgrZ4mR4YppDvELGgbxMqTtAiuLi+UyGsGoWxZu9L3lCI1MYzM/dI/M2b7jAwzLJzNMPJu/aPxk&#10;i57aLDfByDpOxTOz/RvAmojN1K803EO/69HqefEufgEAAP//AwBQSwMEFAAGAAgAAAAhAPxtheni&#10;AAAADAEAAA8AAABkcnMvZG93bnJldi54bWxMj8FuwjAMhu+T9g6RJ+02UsoKo2uKEBLSpGmbBuWe&#10;JllbkThVE6C8/cxpO9r/p9+fi9XoLDubIXQeBUwnCTCDyusOGwHVfvv0AixEiVpaj0bA1QRYlfd3&#10;hcy1v+C3Oe9iw6gEQy4FtDH2OedBtcbJMPG9Qcp+/OBkpHFouB7khcqd5WmSzLmTHdKFVvZm0xp1&#10;3J2cgPXmaj+r5+y92qq3Y833B/XxdRDi8WFcvwKLZox/MNz0SR1Kcqr9CXVgVsB8kS0JFTBbZimw&#10;G5GkC1rVlGWzKfCy4P+fKH8BAAD//wMAUEsBAi0AFAAGAAgAAAAhALaDOJL+AAAA4QEAABMAAAAA&#10;AAAAAAAAAAAAAAAAAFtDb250ZW50X1R5cGVzXS54bWxQSwECLQAUAAYACAAAACEAOP0h/9YAAACU&#10;AQAACwAAAAAAAAAAAAAAAAAvAQAAX3JlbHMvLnJlbHNQSwECLQAUAAYACAAAACEAt/IF17ICAADA&#10;BQAADgAAAAAAAAAAAAAAAAAuAgAAZHJzL2Uyb0RvYy54bWxQSwECLQAUAAYACAAAACEA/G2F6eIA&#10;AAAMAQAADwAAAAAAAAAAAAAAAAAMBQAAZHJzL2Rvd25yZXYueG1sUEsFBgAAAAAEAAQA8wAAABsG&#10;AAAAAA==&#10;" fillcolor="#007e79" stroked="f" strokeweight="1pt">
                <v:fill opacity="32639f"/>
                <v:textbox inset="3mm,3mm,3mm,3mm">
                  <w:txbxContent>
                    <w:p w14:paraId="7AC95292" w14:textId="77777777" w:rsidR="00044002" w:rsidRPr="005A44FF" w:rsidRDefault="00044002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sz w:val="20"/>
                          <w:szCs w:val="18"/>
                        </w:rPr>
                      </w:pPr>
                      <w:r w:rsidRPr="005A44FF">
                        <w:rPr>
                          <w:rFonts w:cs="Arial"/>
                          <w:b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187194D7" w14:textId="77777777" w:rsidR="00044002" w:rsidRPr="005A44FF" w:rsidRDefault="00044002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sz w:val="20"/>
                          <w:szCs w:val="18"/>
                        </w:rPr>
                      </w:pPr>
                      <w:r w:rsidRPr="005A44FF">
                        <w:rPr>
                          <w:rFonts w:cs="Arial"/>
                          <w:b/>
                          <w:sz w:val="20"/>
                          <w:szCs w:val="18"/>
                        </w:rPr>
                        <w:t>obdržíte na adrese:</w:t>
                      </w:r>
                    </w:p>
                    <w:p w14:paraId="5867C1DD" w14:textId="77777777" w:rsidR="00044002" w:rsidRPr="003D3951" w:rsidRDefault="00044002" w:rsidP="00044002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</w:p>
                    <w:p w14:paraId="1F85193F" w14:textId="77777777" w:rsidR="00044002" w:rsidRPr="005A44FF" w:rsidRDefault="00044002" w:rsidP="00044002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szCs w:val="18"/>
                        </w:rPr>
                      </w:pPr>
                      <w:r w:rsidRPr="005A44FF">
                        <w:rPr>
                          <w:rFonts w:cs="Arial"/>
                          <w:noProof/>
                          <w:szCs w:val="18"/>
                        </w:rPr>
                        <w:t xml:space="preserve">Monika Petrásková, </w:t>
                      </w:r>
                    </w:p>
                    <w:p w14:paraId="5026572F" w14:textId="77777777" w:rsidR="00044002" w:rsidRPr="005A44FF" w:rsidRDefault="00044002" w:rsidP="00044002">
                      <w:pPr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5A44FF">
                        <w:rPr>
                          <w:rFonts w:cs="Arial"/>
                          <w:noProof/>
                          <w:szCs w:val="18"/>
                        </w:rPr>
                        <w:t>m</w:t>
                      </w:r>
                      <w:proofErr w:type="spellStart"/>
                      <w:r w:rsidRPr="005A44FF">
                        <w:rPr>
                          <w:rFonts w:cs="Arial"/>
                          <w:szCs w:val="18"/>
                        </w:rPr>
                        <w:t>anažerka</w:t>
                      </w:r>
                      <w:proofErr w:type="spellEnd"/>
                      <w:r w:rsidRPr="005A44FF">
                        <w:rPr>
                          <w:rFonts w:cs="Arial"/>
                          <w:szCs w:val="18"/>
                        </w:rPr>
                        <w:t xml:space="preserve"> PR a komunikace ČBA</w:t>
                      </w:r>
                    </w:p>
                    <w:p w14:paraId="69EB82FC" w14:textId="77777777" w:rsidR="00044002" w:rsidRPr="005A44FF" w:rsidRDefault="00044002" w:rsidP="00044002">
                      <w:pPr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5A44FF">
                        <w:rPr>
                          <w:rFonts w:cs="Arial"/>
                          <w:szCs w:val="18"/>
                        </w:rPr>
                        <w:t>petraskova@czech-ba.cz</w:t>
                      </w:r>
                    </w:p>
                    <w:p w14:paraId="0B0CE061" w14:textId="77777777" w:rsidR="00044002" w:rsidRPr="005A44FF" w:rsidRDefault="00044002" w:rsidP="00044002">
                      <w:pPr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5A44FF">
                        <w:rPr>
                          <w:rFonts w:cs="Arial"/>
                          <w:szCs w:val="18"/>
                        </w:rPr>
                        <w:t>tel: + 420 733 130 282</w:t>
                      </w:r>
                    </w:p>
                    <w:p w14:paraId="0808B31F" w14:textId="77777777" w:rsidR="00044002" w:rsidRDefault="00044002" w:rsidP="00044002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A44FF">
        <w:rPr>
          <w:rFonts w:eastAsiaTheme="minorEastAsia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989396" wp14:editId="25B19829">
                <wp:simplePos x="0" y="0"/>
                <wp:positionH relativeFrom="margin">
                  <wp:posOffset>-66675</wp:posOffset>
                </wp:positionH>
                <wp:positionV relativeFrom="paragraph">
                  <wp:posOffset>2506345</wp:posOffset>
                </wp:positionV>
                <wp:extent cx="4216400" cy="1637969"/>
                <wp:effectExtent l="0" t="0" r="0" b="635"/>
                <wp:wrapNone/>
                <wp:docPr id="199" name="Obdélník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6400" cy="163796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1160DE" w14:textId="77777777" w:rsidR="00044002" w:rsidRPr="005A44FF" w:rsidRDefault="00044002" w:rsidP="00044002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  <w:t>O České bankovní asociaci</w:t>
                            </w:r>
                          </w:p>
                          <w:p w14:paraId="51BDEFCD" w14:textId="77777777" w:rsidR="00044002" w:rsidRPr="00F67E6A" w:rsidRDefault="00044002" w:rsidP="00044002">
                            <w:pPr>
                              <w:pStyle w:val="Standard"/>
                              <w:spacing w:line="276" w:lineRule="auto"/>
                              <w:ind w:left="28" w:hanging="28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3D3951">
                              <w:rPr>
                                <w:rFonts w:cs="Arial"/>
                                <w:szCs w:val="18"/>
                              </w:rPr>
                              <w:t>Česká bankovní asociace vznikla v roce 1990 a je dobrovolným sdružením právnických osob podnikajících v oblasti peněžnictví. V současné době sdružuje 38 členů. Rolí asociace je především zastupovat a prosazovat společné zájmy členů, prezentovat roli a zájmy bankovnictví vůči veřejnosti, podílet se na standardizaci postupů v</w:t>
                            </w:r>
                            <w:r w:rsidRPr="003D3951">
                              <w:rPr>
                                <w:rFonts w:cs="Arial"/>
                                <w:i/>
                                <w:sz w:val="20"/>
                              </w:rPr>
                              <w:t> </w:t>
                            </w:r>
                            <w:r w:rsidRPr="003D3951">
                              <w:rPr>
                                <w:rFonts w:cs="Arial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3D3951">
                              <w:rPr>
                                <w:rFonts w:cs="Arial"/>
                                <w:i/>
                                <w:sz w:val="20"/>
                              </w:rPr>
                              <w:t> </w:t>
                            </w:r>
                            <w:r w:rsidRPr="003D3951">
                              <w:rPr>
                                <w:rFonts w:cs="Arial"/>
                                <w:szCs w:val="18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89396" id="Obdélník 199" o:spid="_x0000_s1029" style="position:absolute;left:0;text-align:left;margin-left:-5.25pt;margin-top:197.35pt;width:332pt;height:128.9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CxkrwIAAMIFAAAOAAAAZHJzL2Uyb0RvYy54bWysVMFu2zAMvQ/YPwi6r7bTLm2DOkXQosOA&#10;ri3WDj0rshwbk0RNUuJkf7TDvqI/Nkqy3aUrdhh2sUWKfCSfSJ6db5UkG2FdC7qkxUFOidAcqlav&#10;Svrl4erdCSXOM10xCVqUdCccPZ+/fXPWmZmYQAOyEpYgiHazzpS08d7MsszxRijmDsAIjZc1WMU8&#10;inaVVZZ1iK5kNsnzadaBrYwFLpxD7WW6pPOIX9eC+9u6dsITWVLMzcevjd9l+GbzMzZbWWaalvdp&#10;sH/IQrFWY9AR6pJ5Rta2/QNKtdyCg9ofcFAZ1HXLRawBqynyF9XcN8yIWAuS48xIk/t/sPxmc2dJ&#10;W+HbnZ5SopnCR7pdVk8/pH76+ZUELXLUGTdD03tzZ3vJ4TEUvK2tCn8shWwjr7uRV7H1hKPyaFJM&#10;j3Kkn+NdMT08Pp1G1OzZ3VjnPwhQJBxKavHhIp9sc+08hkTTwSREcyDb6qqVMgqhWcSFtGTD8JmX&#10;qyK6yrX6BFXSHb/PMX7Cib0VzCPqHpLUAU9DQE7GQZOF6lO98eR3UgQ7qT+LGrnDCicx4oicgjLO&#10;hfYpGdewSiR1SOX1XCJgQK4x/ojdA+wXOWCnLHv74Cpi04/O+d8SS86jR4wM2o/OqtVgXwOQWFUf&#10;OdkPJCVqAkt+u9zGvjoc+mcJ1Q57zUIaQmf4VYuPfc2cv2MWpw4bBDeJv8VPLaErKfQnShqw31/T&#10;B3scBrylpMMpLqn7tmZWUCI/ahyTIj8JZBO/J9k9abkn6bW6AOyiAveW4fGI/tbL4VhbUI+4dBYh&#10;Ml4xzTF+Sf1wvPBpv+DS4mKxiEY47Ib5a31veIAOTId2ftg+Mmv6nvc4LjcwzDybvWj9ZBs8NSzW&#10;Huo2zkXgOjHbvwEuitjY/VILm+h3OVo9r975LwAAAP//AwBQSwMEFAAGAAgAAAAhADyAFF3eAAAA&#10;CwEAAA8AAABkcnMvZG93bnJldi54bWxMj0FPwzAMhe9I/IfISNy2ZC0tW2k6ISQunGBMaEevCW1F&#10;45Qm68q/xzvBzfZ7eu9zuZ1dLyY7hs6ThtVSgbBUe9NRo2H//rxYgwgRyWDvyWr4sQG21fVViYXx&#10;Z3qz0y42gkMoFKihjXEopAx1ax2GpR8ssfbpR4eR17GRZsQzh7teJkrl0mFH3NDiYJ9aW3/tTo57&#10;1+H1O6EpffnYY3ZAOUgVM61vb+bHBxDRzvHPDBd8RoeKmY7+RCaIXsNipTK2akg3d/cg2JFnKV+O&#10;lyHJQVal/P9D9QsAAP//AwBQSwECLQAUAAYACAAAACEAtoM4kv4AAADhAQAAEwAAAAAAAAAAAAAA&#10;AAAAAAAAW0NvbnRlbnRfVHlwZXNdLnhtbFBLAQItABQABgAIAAAAIQA4/SH/1gAAAJQBAAALAAAA&#10;AAAAAAAAAAAAAC8BAABfcmVscy8ucmVsc1BLAQItABQABgAIAAAAIQDZdCxkrwIAAMIFAAAOAAAA&#10;AAAAAAAAAAAAAC4CAABkcnMvZTJvRG9jLnhtbFBLAQItABQABgAIAAAAIQA8gBRd3gAAAAsBAAAP&#10;AAAAAAAAAAAAAAAAAAkFAABkcnMvZG93bnJldi54bWxQSwUGAAAAAAQABADzAAAAFAYAAAAA&#10;" fillcolor="#bfbfbf [2412]" stroked="f" strokeweight="1pt">
                <v:textbox inset="3mm,3mm,3mm,3mm">
                  <w:txbxContent>
                    <w:p w14:paraId="4C1160DE" w14:textId="77777777" w:rsidR="00044002" w:rsidRPr="005A44FF" w:rsidRDefault="00044002" w:rsidP="00044002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 w:val="20"/>
                          <w:szCs w:val="18"/>
                        </w:rPr>
                      </w:pPr>
                      <w:r w:rsidRPr="005A44FF">
                        <w:rPr>
                          <w:rFonts w:cs="Arial"/>
                          <w:b/>
                          <w:sz w:val="20"/>
                          <w:szCs w:val="18"/>
                        </w:rPr>
                        <w:t>O České bankovní asociaci</w:t>
                      </w:r>
                    </w:p>
                    <w:p w14:paraId="51BDEFCD" w14:textId="77777777" w:rsidR="00044002" w:rsidRPr="00F67E6A" w:rsidRDefault="00044002" w:rsidP="00044002">
                      <w:pPr>
                        <w:pStyle w:val="Standard"/>
                        <w:spacing w:line="276" w:lineRule="auto"/>
                        <w:ind w:left="28" w:hanging="28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3D3951">
                        <w:rPr>
                          <w:rFonts w:cs="Arial"/>
                          <w:szCs w:val="18"/>
                        </w:rPr>
                        <w:t>Česká bankovní asociace vznikla v roce 1990 a je dobrovolným sdružením právnických osob podnikajících v oblasti peněžnictví. V současné době sdružuje 38 členů. Rolí asociace je především zastupovat a prosazovat společné zájmy členů, prezentovat roli a zájmy bankovnictví vůči veřejnosti, podílet se na standardizaci postupů v</w:t>
                      </w:r>
                      <w:r w:rsidRPr="003D3951">
                        <w:rPr>
                          <w:rFonts w:cs="Arial"/>
                          <w:i/>
                          <w:sz w:val="20"/>
                        </w:rPr>
                        <w:t> </w:t>
                      </w:r>
                      <w:r w:rsidRPr="003D3951">
                        <w:rPr>
                          <w:rFonts w:cs="Arial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3D3951">
                        <w:rPr>
                          <w:rFonts w:cs="Arial"/>
                          <w:i/>
                          <w:sz w:val="20"/>
                        </w:rPr>
                        <w:t> </w:t>
                      </w:r>
                      <w:r w:rsidRPr="003D3951">
                        <w:rPr>
                          <w:rFonts w:cs="Arial"/>
                          <w:szCs w:val="18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C1943" w:rsidRPr="00517111" w:rsidSect="005161D9">
      <w:headerReference w:type="default" r:id="rId10"/>
      <w:footerReference w:type="default" r:id="rId11"/>
      <w:pgSz w:w="11906" w:h="16838"/>
      <w:pgMar w:top="2410" w:right="851" w:bottom="851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FC186" w14:textId="77777777" w:rsidR="006C560D" w:rsidRDefault="006C560D" w:rsidP="00F573F1">
      <w:r>
        <w:separator/>
      </w:r>
    </w:p>
  </w:endnote>
  <w:endnote w:type="continuationSeparator" w:id="0">
    <w:p w14:paraId="32297980" w14:textId="77777777" w:rsidR="006C560D" w:rsidRDefault="006C560D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6A6A6" w:themeColor="background1" w:themeShade="A6"/>
        <w:sz w:val="14"/>
      </w:rPr>
      <w:id w:val="-915778797"/>
      <w:docPartObj>
        <w:docPartGallery w:val="Page Numbers (Bottom of Page)"/>
        <w:docPartUnique/>
      </w:docPartObj>
    </w:sdtPr>
    <w:sdtEndPr/>
    <w:sdtContent>
      <w:p w14:paraId="13CE44BD" w14:textId="77777777" w:rsidR="00FB4A1C" w:rsidRPr="00FB4A1C" w:rsidRDefault="00FB4A1C">
        <w:pPr>
          <w:pStyle w:val="Zpat"/>
          <w:rPr>
            <w:color w:val="A6A6A6" w:themeColor="background1" w:themeShade="A6"/>
            <w:sz w:val="14"/>
          </w:rPr>
        </w:pPr>
        <w:r w:rsidRPr="00FB4A1C">
          <w:rPr>
            <w:color w:val="A6A6A6" w:themeColor="background1" w:themeShade="A6"/>
            <w:sz w:val="14"/>
          </w:rPr>
          <w:fldChar w:fldCharType="begin"/>
        </w:r>
        <w:r w:rsidRPr="00FB4A1C">
          <w:rPr>
            <w:color w:val="A6A6A6" w:themeColor="background1" w:themeShade="A6"/>
            <w:sz w:val="14"/>
          </w:rPr>
          <w:instrText>PAGE   \* MERGEFORMAT</w:instrText>
        </w:r>
        <w:r w:rsidRPr="00FB4A1C">
          <w:rPr>
            <w:color w:val="A6A6A6" w:themeColor="background1" w:themeShade="A6"/>
            <w:sz w:val="14"/>
          </w:rPr>
          <w:fldChar w:fldCharType="separate"/>
        </w:r>
        <w:r w:rsidRPr="00FB4A1C">
          <w:rPr>
            <w:color w:val="A6A6A6" w:themeColor="background1" w:themeShade="A6"/>
            <w:sz w:val="14"/>
          </w:rPr>
          <w:t>2</w:t>
        </w:r>
        <w:r w:rsidRPr="00FB4A1C">
          <w:rPr>
            <w:color w:val="A6A6A6" w:themeColor="background1" w:themeShade="A6"/>
            <w:sz w:val="14"/>
          </w:rPr>
          <w:fldChar w:fldCharType="end"/>
        </w:r>
      </w:p>
    </w:sdtContent>
  </w:sdt>
  <w:p w14:paraId="6B2FBE8E" w14:textId="77777777" w:rsidR="00FB4A1C" w:rsidRPr="00FB4A1C" w:rsidRDefault="00FB4A1C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85A71" w14:textId="77777777" w:rsidR="006C560D" w:rsidRDefault="006C560D" w:rsidP="00F573F1">
      <w:r>
        <w:separator/>
      </w:r>
    </w:p>
  </w:footnote>
  <w:footnote w:type="continuationSeparator" w:id="0">
    <w:p w14:paraId="6ACB677F" w14:textId="77777777" w:rsidR="006C560D" w:rsidRDefault="006C560D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D06E3" w14:textId="52D82906" w:rsidR="00F573F1" w:rsidRDefault="00F573F1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F9921F" wp14:editId="696766EE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375B"/>
    <w:multiLevelType w:val="hybridMultilevel"/>
    <w:tmpl w:val="244025D4"/>
    <w:lvl w:ilvl="0" w:tplc="B9383CBA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1237F"/>
    <w:multiLevelType w:val="hybridMultilevel"/>
    <w:tmpl w:val="57CCAD86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869E9"/>
    <w:multiLevelType w:val="hybridMultilevel"/>
    <w:tmpl w:val="E45E6B58"/>
    <w:lvl w:ilvl="0" w:tplc="67C6764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3"/>
    <w:rsid w:val="00044002"/>
    <w:rsid w:val="00046227"/>
    <w:rsid w:val="0007445A"/>
    <w:rsid w:val="000D5D2B"/>
    <w:rsid w:val="000E11C0"/>
    <w:rsid w:val="000E563F"/>
    <w:rsid w:val="000E6751"/>
    <w:rsid w:val="0011443F"/>
    <w:rsid w:val="00132AD7"/>
    <w:rsid w:val="00146F46"/>
    <w:rsid w:val="00186D65"/>
    <w:rsid w:val="00195C6D"/>
    <w:rsid w:val="001C7F88"/>
    <w:rsid w:val="001D45B5"/>
    <w:rsid w:val="001D5BB9"/>
    <w:rsid w:val="001E15FD"/>
    <w:rsid w:val="001E27B8"/>
    <w:rsid w:val="001E6F5D"/>
    <w:rsid w:val="00212851"/>
    <w:rsid w:val="00224655"/>
    <w:rsid w:val="00240002"/>
    <w:rsid w:val="00244923"/>
    <w:rsid w:val="00267ACA"/>
    <w:rsid w:val="002A31A1"/>
    <w:rsid w:val="002D1376"/>
    <w:rsid w:val="002D49FB"/>
    <w:rsid w:val="002F477C"/>
    <w:rsid w:val="00327407"/>
    <w:rsid w:val="003508FE"/>
    <w:rsid w:val="00370F35"/>
    <w:rsid w:val="00376F07"/>
    <w:rsid w:val="00391FA6"/>
    <w:rsid w:val="003952ED"/>
    <w:rsid w:val="003A7DB5"/>
    <w:rsid w:val="003B0705"/>
    <w:rsid w:val="003C3D7F"/>
    <w:rsid w:val="003D224C"/>
    <w:rsid w:val="003D47B9"/>
    <w:rsid w:val="003E3DCB"/>
    <w:rsid w:val="003F1CB9"/>
    <w:rsid w:val="003F7F31"/>
    <w:rsid w:val="004221B2"/>
    <w:rsid w:val="00437589"/>
    <w:rsid w:val="004478C7"/>
    <w:rsid w:val="0046651A"/>
    <w:rsid w:val="0046741A"/>
    <w:rsid w:val="00492636"/>
    <w:rsid w:val="004A1724"/>
    <w:rsid w:val="004A3B58"/>
    <w:rsid w:val="004A6CE0"/>
    <w:rsid w:val="004D2882"/>
    <w:rsid w:val="004E1AC6"/>
    <w:rsid w:val="004F0229"/>
    <w:rsid w:val="004F6EA8"/>
    <w:rsid w:val="004F70A7"/>
    <w:rsid w:val="005002EE"/>
    <w:rsid w:val="00505E19"/>
    <w:rsid w:val="005161D9"/>
    <w:rsid w:val="00517111"/>
    <w:rsid w:val="005642DD"/>
    <w:rsid w:val="00571C08"/>
    <w:rsid w:val="00574C33"/>
    <w:rsid w:val="00584718"/>
    <w:rsid w:val="005877CB"/>
    <w:rsid w:val="005911FC"/>
    <w:rsid w:val="005A2501"/>
    <w:rsid w:val="005A44FF"/>
    <w:rsid w:val="005B2CA9"/>
    <w:rsid w:val="005B3439"/>
    <w:rsid w:val="005B6588"/>
    <w:rsid w:val="005C1943"/>
    <w:rsid w:val="005C6D52"/>
    <w:rsid w:val="005D4BC8"/>
    <w:rsid w:val="005E58E1"/>
    <w:rsid w:val="0060552B"/>
    <w:rsid w:val="00611C5C"/>
    <w:rsid w:val="00652C1E"/>
    <w:rsid w:val="006963D2"/>
    <w:rsid w:val="006A7721"/>
    <w:rsid w:val="006B2F86"/>
    <w:rsid w:val="006C560D"/>
    <w:rsid w:val="006D0AF2"/>
    <w:rsid w:val="006D23EF"/>
    <w:rsid w:val="006E2400"/>
    <w:rsid w:val="006F7DF9"/>
    <w:rsid w:val="0070749F"/>
    <w:rsid w:val="00711D7C"/>
    <w:rsid w:val="007121DF"/>
    <w:rsid w:val="00714837"/>
    <w:rsid w:val="00720DE3"/>
    <w:rsid w:val="00722A6F"/>
    <w:rsid w:val="0072723A"/>
    <w:rsid w:val="00760B61"/>
    <w:rsid w:val="00762B1E"/>
    <w:rsid w:val="00786BB9"/>
    <w:rsid w:val="007964DC"/>
    <w:rsid w:val="007A329B"/>
    <w:rsid w:val="007B02A8"/>
    <w:rsid w:val="007C4C83"/>
    <w:rsid w:val="007D4025"/>
    <w:rsid w:val="007F40D6"/>
    <w:rsid w:val="007F6403"/>
    <w:rsid w:val="00803E55"/>
    <w:rsid w:val="00807F85"/>
    <w:rsid w:val="00811FE2"/>
    <w:rsid w:val="00816E15"/>
    <w:rsid w:val="008225D7"/>
    <w:rsid w:val="00854190"/>
    <w:rsid w:val="00864FA8"/>
    <w:rsid w:val="00870102"/>
    <w:rsid w:val="00872847"/>
    <w:rsid w:val="008857AA"/>
    <w:rsid w:val="008C1507"/>
    <w:rsid w:val="008C161D"/>
    <w:rsid w:val="008D6BD1"/>
    <w:rsid w:val="00905E09"/>
    <w:rsid w:val="009139AF"/>
    <w:rsid w:val="00935EAC"/>
    <w:rsid w:val="00944D10"/>
    <w:rsid w:val="00977317"/>
    <w:rsid w:val="009B317E"/>
    <w:rsid w:val="009C0DD6"/>
    <w:rsid w:val="009D2F47"/>
    <w:rsid w:val="009E5367"/>
    <w:rsid w:val="009F5F42"/>
    <w:rsid w:val="009F6C56"/>
    <w:rsid w:val="00A0323B"/>
    <w:rsid w:val="00A2201D"/>
    <w:rsid w:val="00A46880"/>
    <w:rsid w:val="00A7149F"/>
    <w:rsid w:val="00A75CC5"/>
    <w:rsid w:val="00A75FE9"/>
    <w:rsid w:val="00A8750A"/>
    <w:rsid w:val="00A90878"/>
    <w:rsid w:val="00A97F5A"/>
    <w:rsid w:val="00AA14BC"/>
    <w:rsid w:val="00AA2920"/>
    <w:rsid w:val="00AB365A"/>
    <w:rsid w:val="00AE37D1"/>
    <w:rsid w:val="00AF18CA"/>
    <w:rsid w:val="00B14F58"/>
    <w:rsid w:val="00B15438"/>
    <w:rsid w:val="00B2310C"/>
    <w:rsid w:val="00B27646"/>
    <w:rsid w:val="00B506AC"/>
    <w:rsid w:val="00B84219"/>
    <w:rsid w:val="00B92E7C"/>
    <w:rsid w:val="00B95673"/>
    <w:rsid w:val="00BC0CB8"/>
    <w:rsid w:val="00BD0100"/>
    <w:rsid w:val="00BE3A6F"/>
    <w:rsid w:val="00BE5574"/>
    <w:rsid w:val="00C17244"/>
    <w:rsid w:val="00C26B97"/>
    <w:rsid w:val="00C520D7"/>
    <w:rsid w:val="00C56384"/>
    <w:rsid w:val="00C74048"/>
    <w:rsid w:val="00C95FE0"/>
    <w:rsid w:val="00CA7866"/>
    <w:rsid w:val="00CB0507"/>
    <w:rsid w:val="00CE4AA8"/>
    <w:rsid w:val="00D073EB"/>
    <w:rsid w:val="00D10717"/>
    <w:rsid w:val="00D2243D"/>
    <w:rsid w:val="00D2261D"/>
    <w:rsid w:val="00D775D2"/>
    <w:rsid w:val="00D97E49"/>
    <w:rsid w:val="00DA2C19"/>
    <w:rsid w:val="00DE3B0F"/>
    <w:rsid w:val="00DF431A"/>
    <w:rsid w:val="00E00F73"/>
    <w:rsid w:val="00E032CB"/>
    <w:rsid w:val="00E036B1"/>
    <w:rsid w:val="00E10053"/>
    <w:rsid w:val="00E17AFB"/>
    <w:rsid w:val="00E3317B"/>
    <w:rsid w:val="00E3386F"/>
    <w:rsid w:val="00E350BD"/>
    <w:rsid w:val="00E77101"/>
    <w:rsid w:val="00EA5747"/>
    <w:rsid w:val="00EC03D2"/>
    <w:rsid w:val="00ED452D"/>
    <w:rsid w:val="00F37162"/>
    <w:rsid w:val="00F573F1"/>
    <w:rsid w:val="00F659DE"/>
    <w:rsid w:val="00F6767A"/>
    <w:rsid w:val="00F67E6A"/>
    <w:rsid w:val="00F7568A"/>
    <w:rsid w:val="00F91718"/>
    <w:rsid w:val="00FA2100"/>
    <w:rsid w:val="00FB4A1C"/>
    <w:rsid w:val="00FB60FB"/>
    <w:rsid w:val="00FC5B2A"/>
    <w:rsid w:val="00FD12DB"/>
    <w:rsid w:val="00FD57E2"/>
    <w:rsid w:val="00FE2877"/>
    <w:rsid w:val="00FE49D3"/>
    <w:rsid w:val="00F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D3594D"/>
  <w15:chartTrackingRefBased/>
  <w15:docId w15:val="{2593DE48-8079-4E48-8F14-09991C41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16E15"/>
    <w:pPr>
      <w:overflowPunct/>
      <w:autoSpaceDE/>
      <w:autoSpaceDN/>
      <w:adjustRightInd/>
      <w:spacing w:before="100" w:beforeAutospacing="1" w:after="100" w:afterAutospacing="1"/>
      <w:jc w:val="left"/>
      <w:textAlignment w:val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16E1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4F022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60B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aeduc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baeduca.cz/pojisteni/zkouskyHodnoceni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952D9-A5C8-4257-8F10-E3D281DC0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797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vlachova</dc:creator>
  <cp:keywords/>
  <dc:description/>
  <cp:lastModifiedBy>Andrea Trudičová</cp:lastModifiedBy>
  <cp:revision>9</cp:revision>
  <cp:lastPrinted>2019-03-06T13:18:00Z</cp:lastPrinted>
  <dcterms:created xsi:type="dcterms:W3CDTF">2019-03-06T10:32:00Z</dcterms:created>
  <dcterms:modified xsi:type="dcterms:W3CDTF">2019-03-06T13:39:00Z</dcterms:modified>
</cp:coreProperties>
</file>