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8307" w14:textId="53D19465" w:rsidR="00012E41" w:rsidRPr="00012E41" w:rsidRDefault="007A7E59" w:rsidP="006526DB">
      <w:pPr>
        <w:spacing w:after="120" w:line="276" w:lineRule="auto"/>
        <w:contextualSpacing/>
        <w:rPr>
          <w:rFonts w:cs="Arial"/>
          <w:b/>
          <w:bCs/>
          <w:color w:val="007E79"/>
          <w:sz w:val="28"/>
          <w:szCs w:val="28"/>
        </w:rPr>
      </w:pPr>
      <w:r w:rsidRPr="005D593D">
        <w:rPr>
          <w:rFonts w:cs="Arial"/>
          <w:noProof/>
          <w:color w:val="007E79"/>
          <w:sz w:val="1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929C74" wp14:editId="03231DE7">
                <wp:simplePos x="0" y="0"/>
                <wp:positionH relativeFrom="margin">
                  <wp:posOffset>5294630</wp:posOffset>
                </wp:positionH>
                <wp:positionV relativeFrom="paragraph">
                  <wp:posOffset>-747395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BCFF" w14:textId="77777777" w:rsidR="007A7E59" w:rsidRDefault="007A7E59" w:rsidP="007A7E5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67956936" w14:textId="2B2B65CA" w:rsidR="007A7E59" w:rsidRPr="00517111" w:rsidRDefault="007A7E59" w:rsidP="007A7E5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21. 10. 2020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29C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6.9pt;margin-top:-58.8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EgSJ5nhAAAADQEAAA8AAABkcnMvZG93bnJldi54bWxMj8FOwzAQRO9I/IO1SNxaO4kg&#10;JY1TVagtR0qJOLuxm0TEa8t20/D3OCe4zWpGs2/KzaQHMirne4MckiUDorAxsseWQ/25X6yA+CBQ&#10;isGg4vCjPGyq+7tSFNLc8EONp9CSWIK+EBy6EGxBqW86pYVfGqswehfjtAjxdC2VTtxiuR5oytgz&#10;1aLH+KETVr12qvk+XTUHG+whf3Pvx+1uP7L661Cnfbvj/PFh2q6BBDWFvzDM+BEdqsh0NleUngwc&#10;VlkW0QOHRZLkOZA5wtKXuO88q+wJaFXS/yuqXwAAAP//AwBQSwECLQAUAAYACAAAACEAtoM4kv4A&#10;AADhAQAAEwAAAAAAAAAAAAAAAAAAAAAAW0NvbnRlbnRfVHlwZXNdLnhtbFBLAQItABQABgAIAAAA&#10;IQA4/SH/1gAAAJQBAAALAAAAAAAAAAAAAAAAAC8BAABfcmVscy8ucmVsc1BLAQItABQABgAIAAAA&#10;IQCk9tGYEwIAAPoDAAAOAAAAAAAAAAAAAAAAAC4CAABkcnMvZTJvRG9jLnhtbFBLAQItABQABgAI&#10;AAAAIQBIEieZ4QAAAA0BAAAPAAAAAAAAAAAAAAAAAG0EAABkcnMvZG93bnJldi54bWxQSwUGAAAA&#10;AAQABADzAAAAewUAAAAA&#10;" filled="f" stroked="f">
                <v:textbox style="mso-fit-shape-to-text:t">
                  <w:txbxContent>
                    <w:p w14:paraId="41AEBCFF" w14:textId="77777777" w:rsidR="007A7E59" w:rsidRDefault="007A7E59" w:rsidP="007A7E59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67956936" w14:textId="2B2B65CA" w:rsidR="007A7E59" w:rsidRPr="00517111" w:rsidRDefault="007A7E59" w:rsidP="007A7E59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21. 10. 2020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595">
        <w:rPr>
          <w:rFonts w:cs="Arial"/>
          <w:b/>
          <w:bCs/>
          <w:color w:val="007E79"/>
          <w:sz w:val="28"/>
          <w:szCs w:val="28"/>
        </w:rPr>
        <w:t xml:space="preserve">Pandemie </w:t>
      </w:r>
      <w:proofErr w:type="spellStart"/>
      <w:r w:rsidR="00A76595">
        <w:rPr>
          <w:rFonts w:cs="Arial"/>
          <w:b/>
          <w:bCs/>
          <w:color w:val="007E79"/>
          <w:sz w:val="28"/>
          <w:szCs w:val="28"/>
        </w:rPr>
        <w:t>COVIDu</w:t>
      </w:r>
      <w:proofErr w:type="spellEnd"/>
      <w:r w:rsidR="00A76595">
        <w:rPr>
          <w:rFonts w:cs="Arial"/>
          <w:b/>
          <w:bCs/>
          <w:color w:val="007E79"/>
          <w:sz w:val="28"/>
          <w:szCs w:val="28"/>
        </w:rPr>
        <w:t xml:space="preserve"> touhu Čechů po vlastním bydlení nezastavila</w:t>
      </w:r>
      <w:r w:rsidR="00812C18">
        <w:rPr>
          <w:rFonts w:cs="Arial"/>
          <w:b/>
          <w:bCs/>
          <w:color w:val="007E79"/>
          <w:sz w:val="28"/>
          <w:szCs w:val="28"/>
        </w:rPr>
        <w:t>. Č</w:t>
      </w:r>
      <w:r w:rsidR="00A76595">
        <w:rPr>
          <w:rFonts w:cs="Arial"/>
          <w:b/>
          <w:bCs/>
          <w:color w:val="007E79"/>
          <w:sz w:val="28"/>
          <w:szCs w:val="28"/>
        </w:rPr>
        <w:t xml:space="preserve">ísla bank atakují </w:t>
      </w:r>
      <w:r w:rsidR="008949C6">
        <w:rPr>
          <w:rFonts w:cs="Arial"/>
          <w:b/>
          <w:bCs/>
          <w:color w:val="007E79"/>
          <w:sz w:val="28"/>
          <w:szCs w:val="28"/>
        </w:rPr>
        <w:t>co do</w:t>
      </w:r>
      <w:r w:rsidR="00A76595">
        <w:rPr>
          <w:rFonts w:cs="Arial"/>
          <w:b/>
          <w:bCs/>
          <w:color w:val="007E79"/>
          <w:sz w:val="28"/>
          <w:szCs w:val="28"/>
        </w:rPr>
        <w:t xml:space="preserve"> objemu poskytnutých hypoték historické rekordy</w:t>
      </w:r>
    </w:p>
    <w:p w14:paraId="433DE47D" w14:textId="77777777" w:rsidR="008347A0" w:rsidRDefault="008347A0" w:rsidP="006526DB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D23B50E" w14:textId="329199BF" w:rsidR="00E91740" w:rsidRDefault="003900F8" w:rsidP="006526DB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12095">
        <w:rPr>
          <w:rFonts w:cs="Arial"/>
          <w:b/>
          <w:color w:val="007E79"/>
          <w:sz w:val="20"/>
        </w:rPr>
        <w:t xml:space="preserve">Praha, </w:t>
      </w:r>
      <w:r w:rsidR="00A76595">
        <w:rPr>
          <w:rFonts w:cs="Arial"/>
          <w:b/>
          <w:color w:val="007E79"/>
          <w:sz w:val="20"/>
        </w:rPr>
        <w:t>21</w:t>
      </w:r>
      <w:r w:rsidR="00A51466">
        <w:rPr>
          <w:rFonts w:cs="Arial"/>
          <w:b/>
          <w:color w:val="007E79"/>
          <w:sz w:val="20"/>
        </w:rPr>
        <w:t xml:space="preserve">. </w:t>
      </w:r>
      <w:r w:rsidR="00A76595">
        <w:rPr>
          <w:rFonts w:cs="Arial"/>
          <w:b/>
          <w:color w:val="007E79"/>
          <w:sz w:val="20"/>
        </w:rPr>
        <w:t>října</w:t>
      </w:r>
      <w:r w:rsidR="00A51466">
        <w:rPr>
          <w:rFonts w:cs="Arial"/>
          <w:b/>
          <w:color w:val="007E79"/>
          <w:sz w:val="20"/>
        </w:rPr>
        <w:t xml:space="preserve"> 2020</w:t>
      </w:r>
      <w:r w:rsidRPr="00C12095">
        <w:rPr>
          <w:rFonts w:cs="Arial"/>
          <w:b/>
          <w:color w:val="007E79"/>
          <w:sz w:val="20"/>
        </w:rPr>
        <w:t xml:space="preserve"> –</w:t>
      </w:r>
      <w:r w:rsidR="00E91740">
        <w:rPr>
          <w:rFonts w:cs="Arial"/>
          <w:b/>
          <w:color w:val="007E79"/>
          <w:sz w:val="20"/>
        </w:rPr>
        <w:t xml:space="preserve"> Letošní rok</w:t>
      </w:r>
      <w:r w:rsidR="001869C9">
        <w:rPr>
          <w:rFonts w:cs="Arial"/>
          <w:b/>
          <w:color w:val="007E79"/>
          <w:sz w:val="20"/>
        </w:rPr>
        <w:t xml:space="preserve"> je zatím</w:t>
      </w:r>
      <w:r w:rsidR="00E91740">
        <w:rPr>
          <w:rFonts w:cs="Arial"/>
          <w:b/>
          <w:color w:val="007E79"/>
          <w:sz w:val="20"/>
        </w:rPr>
        <w:t xml:space="preserve"> co do objemu hypotečních úvěrů rekordní, a to i navzdory pandemi</w:t>
      </w:r>
      <w:r w:rsidR="00032023">
        <w:rPr>
          <w:rFonts w:cs="Arial"/>
          <w:b/>
          <w:color w:val="007E79"/>
          <w:sz w:val="20"/>
        </w:rPr>
        <w:t xml:space="preserve">i </w:t>
      </w:r>
      <w:proofErr w:type="spellStart"/>
      <w:r w:rsidR="00032023">
        <w:rPr>
          <w:rFonts w:cs="Arial"/>
          <w:b/>
          <w:color w:val="007E79"/>
          <w:sz w:val="20"/>
        </w:rPr>
        <w:t>koronaviru</w:t>
      </w:r>
      <w:proofErr w:type="spellEnd"/>
      <w:r w:rsidR="00E91740">
        <w:rPr>
          <w:rFonts w:cs="Arial"/>
          <w:b/>
          <w:color w:val="007E79"/>
          <w:sz w:val="20"/>
        </w:rPr>
        <w:t xml:space="preserve">. Zájem o hypotéky potvrzuje i průzkum České bankovní asociace (ČBA). Podle </w:t>
      </w:r>
      <w:r w:rsidR="00084CB1">
        <w:rPr>
          <w:rFonts w:cs="Arial"/>
          <w:b/>
          <w:color w:val="007E79"/>
          <w:sz w:val="20"/>
        </w:rPr>
        <w:t>něj</w:t>
      </w:r>
      <w:r w:rsidR="00E91740">
        <w:rPr>
          <w:rFonts w:cs="Arial"/>
          <w:b/>
          <w:color w:val="007E79"/>
          <w:sz w:val="20"/>
        </w:rPr>
        <w:t xml:space="preserve"> je pro Čechy hypotéka </w:t>
      </w:r>
      <w:r w:rsidR="001869C9">
        <w:rPr>
          <w:rFonts w:cs="Arial"/>
          <w:b/>
          <w:color w:val="007E79"/>
          <w:sz w:val="20"/>
        </w:rPr>
        <w:t xml:space="preserve">zejména </w:t>
      </w:r>
      <w:r w:rsidR="00E91740">
        <w:rPr>
          <w:rFonts w:cs="Arial"/>
          <w:b/>
          <w:color w:val="007E79"/>
          <w:sz w:val="20"/>
        </w:rPr>
        <w:t>cestou k vlastnímu bydle</w:t>
      </w:r>
      <w:r w:rsidR="001869C9">
        <w:rPr>
          <w:rFonts w:cs="Arial"/>
          <w:b/>
          <w:color w:val="007E79"/>
          <w:sz w:val="20"/>
        </w:rPr>
        <w:t>ní</w:t>
      </w:r>
      <w:r w:rsidR="00032023">
        <w:rPr>
          <w:rFonts w:cs="Arial"/>
          <w:b/>
          <w:color w:val="007E79"/>
          <w:sz w:val="20"/>
        </w:rPr>
        <w:t xml:space="preserve"> a má</w:t>
      </w:r>
      <w:r w:rsidR="00504E0E">
        <w:rPr>
          <w:rFonts w:cs="Arial"/>
          <w:b/>
          <w:color w:val="007E79"/>
          <w:sz w:val="20"/>
        </w:rPr>
        <w:t xml:space="preserve"> </w:t>
      </w:r>
      <w:r w:rsidR="00032023">
        <w:rPr>
          <w:rFonts w:cs="Arial"/>
          <w:b/>
          <w:color w:val="007E79"/>
          <w:sz w:val="20"/>
        </w:rPr>
        <w:t>ji v současnost</w:t>
      </w:r>
      <w:r w:rsidR="00371442">
        <w:rPr>
          <w:rFonts w:cs="Arial"/>
          <w:b/>
          <w:color w:val="007E79"/>
          <w:sz w:val="20"/>
        </w:rPr>
        <w:t>i</w:t>
      </w:r>
      <w:r w:rsidR="00032023">
        <w:rPr>
          <w:rFonts w:cs="Arial"/>
          <w:b/>
          <w:color w:val="007E79"/>
          <w:sz w:val="20"/>
        </w:rPr>
        <w:t xml:space="preserve"> </w:t>
      </w:r>
      <w:r w:rsidR="00504E0E">
        <w:rPr>
          <w:rFonts w:cs="Arial"/>
          <w:b/>
          <w:color w:val="007E79"/>
          <w:sz w:val="20"/>
        </w:rPr>
        <w:t>více než pětina</w:t>
      </w:r>
      <w:r w:rsidR="00032023">
        <w:rPr>
          <w:rFonts w:cs="Arial"/>
          <w:b/>
          <w:color w:val="007E79"/>
          <w:sz w:val="20"/>
        </w:rPr>
        <w:t xml:space="preserve"> z nich</w:t>
      </w:r>
      <w:r w:rsidR="001869C9">
        <w:rPr>
          <w:rFonts w:cs="Arial"/>
          <w:b/>
          <w:color w:val="007E79"/>
          <w:sz w:val="20"/>
        </w:rPr>
        <w:t xml:space="preserve">. Téměř 90 % </w:t>
      </w:r>
      <w:r w:rsidR="00032023">
        <w:rPr>
          <w:rFonts w:cs="Arial"/>
          <w:b/>
          <w:color w:val="007E79"/>
          <w:sz w:val="20"/>
        </w:rPr>
        <w:t>Čechů</w:t>
      </w:r>
      <w:r w:rsidR="001869C9">
        <w:rPr>
          <w:rFonts w:cs="Arial"/>
          <w:b/>
          <w:color w:val="007E79"/>
          <w:sz w:val="20"/>
        </w:rPr>
        <w:t xml:space="preserve"> deklar</w:t>
      </w:r>
      <w:r w:rsidR="00032023">
        <w:rPr>
          <w:rFonts w:cs="Arial"/>
          <w:b/>
          <w:color w:val="007E79"/>
          <w:sz w:val="20"/>
        </w:rPr>
        <w:t>ovalo</w:t>
      </w:r>
      <w:r w:rsidR="001869C9">
        <w:rPr>
          <w:rFonts w:cs="Arial"/>
          <w:b/>
          <w:color w:val="007E79"/>
          <w:sz w:val="20"/>
        </w:rPr>
        <w:t xml:space="preserve">, že situace kolem </w:t>
      </w:r>
      <w:proofErr w:type="spellStart"/>
      <w:r w:rsidR="001869C9">
        <w:rPr>
          <w:rFonts w:cs="Arial"/>
          <w:b/>
          <w:color w:val="007E79"/>
          <w:sz w:val="20"/>
        </w:rPr>
        <w:t>koronaviru</w:t>
      </w:r>
      <w:proofErr w:type="spellEnd"/>
      <w:r w:rsidR="001869C9">
        <w:rPr>
          <w:rFonts w:cs="Arial"/>
          <w:b/>
          <w:color w:val="007E79"/>
          <w:sz w:val="20"/>
        </w:rPr>
        <w:t xml:space="preserve"> jejich bydlení nijak neovlivnila</w:t>
      </w:r>
      <w:r w:rsidR="00084CB1">
        <w:rPr>
          <w:rFonts w:cs="Arial"/>
          <w:b/>
          <w:color w:val="007E79"/>
          <w:sz w:val="20"/>
        </w:rPr>
        <w:t xml:space="preserve">. Pouze 6 % uvedlo, že přišlo o dostatek příjmů na pokrytí výdajů na bydlení např. splátky úvěru. </w:t>
      </w:r>
      <w:r w:rsidR="00504E0E">
        <w:rPr>
          <w:rFonts w:cs="Arial"/>
          <w:b/>
          <w:color w:val="007E79"/>
          <w:sz w:val="20"/>
        </w:rPr>
        <w:t>V</w:t>
      </w:r>
      <w:r w:rsidR="00084CB1">
        <w:rPr>
          <w:rFonts w:cs="Arial"/>
          <w:b/>
          <w:color w:val="007E79"/>
          <w:sz w:val="20"/>
        </w:rPr>
        <w:t xml:space="preserve"> této </w:t>
      </w:r>
      <w:r w:rsidR="00504E0E">
        <w:rPr>
          <w:rFonts w:cs="Arial"/>
          <w:b/>
          <w:color w:val="007E79"/>
          <w:sz w:val="20"/>
        </w:rPr>
        <w:t>souvislosti banky přijaly 402 tis. žádostí</w:t>
      </w:r>
      <w:r w:rsidR="00084CB1">
        <w:rPr>
          <w:rFonts w:cs="Arial"/>
          <w:b/>
          <w:color w:val="007E79"/>
          <w:sz w:val="20"/>
        </w:rPr>
        <w:t xml:space="preserve"> o odklad splátek. D</w:t>
      </w:r>
      <w:r w:rsidR="00504E0E">
        <w:rPr>
          <w:rFonts w:cs="Arial"/>
          <w:b/>
          <w:color w:val="007E79"/>
          <w:sz w:val="20"/>
        </w:rPr>
        <w:t xml:space="preserve">vě třetiny Čechů si myslí, že plošný odklad </w:t>
      </w:r>
      <w:r w:rsidR="00084CB1">
        <w:rPr>
          <w:rFonts w:cs="Arial"/>
          <w:b/>
          <w:color w:val="007E79"/>
          <w:sz w:val="20"/>
        </w:rPr>
        <w:t>není třeba prodlužovat, efektivnější je podle nich individuální komunikace. Připravenost případné problémy řešit individuálně potvrdily i banky.</w:t>
      </w:r>
    </w:p>
    <w:p w14:paraId="3CBC6364" w14:textId="77777777" w:rsidR="003900F8" w:rsidRPr="00A848E4" w:rsidRDefault="003900F8" w:rsidP="006526DB">
      <w:pPr>
        <w:spacing w:after="120" w:line="276" w:lineRule="auto"/>
        <w:contextualSpacing/>
        <w:rPr>
          <w:rFonts w:cs="Arial"/>
          <w:sz w:val="20"/>
        </w:rPr>
      </w:pPr>
    </w:p>
    <w:p w14:paraId="31E26903" w14:textId="2C022A30" w:rsidR="00CF1C84" w:rsidRDefault="008949C6" w:rsidP="006526DB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Objemy hypotečních úvěrů letos dosahují rekordních výsledků</w:t>
      </w:r>
      <w:r w:rsidR="00CF1C84">
        <w:rPr>
          <w:rFonts w:cs="Arial"/>
          <w:sz w:val="20"/>
          <w:szCs w:val="18"/>
        </w:rPr>
        <w:t>. To</w:t>
      </w:r>
      <w:r>
        <w:rPr>
          <w:rFonts w:cs="Arial"/>
          <w:sz w:val="20"/>
          <w:szCs w:val="18"/>
        </w:rPr>
        <w:t xml:space="preserve"> potvrzují i objemy obchodů bank za </w:t>
      </w:r>
      <w:r w:rsidR="00CF1C84">
        <w:rPr>
          <w:rFonts w:cs="Arial"/>
          <w:sz w:val="20"/>
          <w:szCs w:val="18"/>
        </w:rPr>
        <w:t xml:space="preserve">letošní </w:t>
      </w:r>
      <w:r>
        <w:rPr>
          <w:rFonts w:cs="Arial"/>
          <w:sz w:val="20"/>
          <w:szCs w:val="18"/>
        </w:rPr>
        <w:t xml:space="preserve">září, </w:t>
      </w:r>
      <w:r w:rsidR="00812C18">
        <w:rPr>
          <w:rFonts w:cs="Arial"/>
          <w:sz w:val="20"/>
          <w:szCs w:val="18"/>
        </w:rPr>
        <w:t>během kterého</w:t>
      </w:r>
      <w:r>
        <w:rPr>
          <w:rFonts w:cs="Arial"/>
          <w:sz w:val="20"/>
          <w:szCs w:val="18"/>
        </w:rPr>
        <w:t xml:space="preserve"> banky </w:t>
      </w:r>
      <w:r w:rsidR="00812C18">
        <w:rPr>
          <w:rFonts w:cs="Arial"/>
          <w:sz w:val="20"/>
          <w:szCs w:val="18"/>
        </w:rPr>
        <w:t>podle</w:t>
      </w:r>
      <w:r>
        <w:rPr>
          <w:rFonts w:cs="Arial"/>
          <w:sz w:val="20"/>
          <w:szCs w:val="18"/>
        </w:rPr>
        <w:t xml:space="preserve"> </w:t>
      </w:r>
      <w:r w:rsidR="00812C18">
        <w:rPr>
          <w:rFonts w:cs="Arial"/>
          <w:sz w:val="20"/>
          <w:szCs w:val="18"/>
        </w:rPr>
        <w:t xml:space="preserve">dat </w:t>
      </w:r>
      <w:proofErr w:type="spellStart"/>
      <w:r>
        <w:rPr>
          <w:rFonts w:cs="Arial"/>
          <w:sz w:val="20"/>
          <w:szCs w:val="18"/>
        </w:rPr>
        <w:t>Fincentrum</w:t>
      </w:r>
      <w:proofErr w:type="spellEnd"/>
      <w:r>
        <w:rPr>
          <w:rFonts w:cs="Arial"/>
          <w:sz w:val="20"/>
          <w:szCs w:val="18"/>
        </w:rPr>
        <w:t xml:space="preserve"> </w:t>
      </w:r>
      <w:proofErr w:type="spellStart"/>
      <w:r>
        <w:rPr>
          <w:rFonts w:cs="Arial"/>
          <w:sz w:val="20"/>
          <w:szCs w:val="18"/>
        </w:rPr>
        <w:t>Hypoindex</w:t>
      </w:r>
      <w:proofErr w:type="spellEnd"/>
      <w:r>
        <w:rPr>
          <w:rFonts w:cs="Arial"/>
          <w:sz w:val="20"/>
          <w:szCs w:val="18"/>
        </w:rPr>
        <w:t xml:space="preserve"> poskytly hypotéky za téměř 22,1 mld. </w:t>
      </w:r>
      <w:r w:rsidR="001C04E7">
        <w:rPr>
          <w:rFonts w:cs="Arial"/>
          <w:sz w:val="20"/>
          <w:szCs w:val="18"/>
        </w:rPr>
        <w:t>korun</w:t>
      </w:r>
      <w:r w:rsidR="00EF52D2">
        <w:rPr>
          <w:rFonts w:cs="Arial"/>
          <w:sz w:val="20"/>
          <w:szCs w:val="18"/>
        </w:rPr>
        <w:t xml:space="preserve">, což </w:t>
      </w:r>
      <w:r w:rsidR="00812C18">
        <w:rPr>
          <w:rFonts w:cs="Arial"/>
          <w:sz w:val="20"/>
          <w:szCs w:val="18"/>
        </w:rPr>
        <w:t>tento měsíc</w:t>
      </w:r>
      <w:r w:rsidR="00EF52D2">
        <w:rPr>
          <w:rFonts w:cs="Arial"/>
          <w:sz w:val="20"/>
          <w:szCs w:val="18"/>
        </w:rPr>
        <w:t xml:space="preserve"> řadí mezi </w:t>
      </w:r>
      <w:r w:rsidR="00812C18">
        <w:rPr>
          <w:rFonts w:cs="Arial"/>
          <w:sz w:val="20"/>
          <w:szCs w:val="18"/>
        </w:rPr>
        <w:t xml:space="preserve">historicky </w:t>
      </w:r>
      <w:r w:rsidR="00EF52D2">
        <w:rPr>
          <w:rFonts w:cs="Arial"/>
          <w:sz w:val="20"/>
          <w:szCs w:val="18"/>
        </w:rPr>
        <w:t>nejsilnější</w:t>
      </w:r>
      <w:r w:rsidRPr="008949C6">
        <w:rPr>
          <w:rFonts w:cs="Arial"/>
          <w:sz w:val="20"/>
          <w:szCs w:val="18"/>
        </w:rPr>
        <w:t xml:space="preserve">. Dobré výsledky </w:t>
      </w:r>
      <w:r w:rsidR="00812C18" w:rsidRPr="008949C6">
        <w:rPr>
          <w:rFonts w:cs="Arial"/>
          <w:sz w:val="20"/>
          <w:szCs w:val="18"/>
        </w:rPr>
        <w:t xml:space="preserve">banky </w:t>
      </w:r>
      <w:r w:rsidRPr="008949C6">
        <w:rPr>
          <w:rFonts w:cs="Arial"/>
          <w:sz w:val="20"/>
          <w:szCs w:val="18"/>
        </w:rPr>
        <w:t xml:space="preserve">hlásí i v kusech prodaných hypoték. V září jich </w:t>
      </w:r>
      <w:r w:rsidR="00812C18">
        <w:rPr>
          <w:rFonts w:cs="Arial"/>
          <w:sz w:val="20"/>
          <w:szCs w:val="18"/>
        </w:rPr>
        <w:t>poskytly</w:t>
      </w:r>
      <w:r w:rsidRPr="008949C6">
        <w:rPr>
          <w:rFonts w:cs="Arial"/>
          <w:sz w:val="20"/>
          <w:szCs w:val="18"/>
        </w:rPr>
        <w:t xml:space="preserve"> 7</w:t>
      </w:r>
      <w:r w:rsidR="00CF1C84">
        <w:rPr>
          <w:rFonts w:cs="Arial"/>
          <w:sz w:val="20"/>
          <w:szCs w:val="18"/>
        </w:rPr>
        <w:t xml:space="preserve"> </w:t>
      </w:r>
      <w:r w:rsidRPr="008949C6">
        <w:rPr>
          <w:rFonts w:cs="Arial"/>
          <w:sz w:val="20"/>
          <w:szCs w:val="18"/>
        </w:rPr>
        <w:t xml:space="preserve">872, což je o tisíc více než v srpnu. Pokud bude tento trend zachován, překoná </w:t>
      </w:r>
      <w:r w:rsidR="00412859">
        <w:rPr>
          <w:rFonts w:cs="Arial"/>
          <w:sz w:val="20"/>
          <w:szCs w:val="18"/>
        </w:rPr>
        <w:t xml:space="preserve">letošní </w:t>
      </w:r>
      <w:r w:rsidRPr="008949C6">
        <w:rPr>
          <w:rFonts w:cs="Arial"/>
          <w:sz w:val="20"/>
          <w:szCs w:val="18"/>
        </w:rPr>
        <w:t xml:space="preserve">rok rekordní roky 2016 a 2017, kdy objem prodaných hypoték dosáhl </w:t>
      </w:r>
      <w:r w:rsidR="00812C18">
        <w:rPr>
          <w:rFonts w:cs="Arial"/>
          <w:sz w:val="20"/>
          <w:szCs w:val="18"/>
        </w:rPr>
        <w:t xml:space="preserve">celkových </w:t>
      </w:r>
      <w:r w:rsidRPr="008949C6">
        <w:rPr>
          <w:rFonts w:cs="Arial"/>
          <w:sz w:val="20"/>
          <w:szCs w:val="18"/>
        </w:rPr>
        <w:t xml:space="preserve">226 mld. </w:t>
      </w:r>
      <w:r w:rsidR="00812C18">
        <w:rPr>
          <w:rFonts w:cs="Arial"/>
          <w:sz w:val="20"/>
          <w:szCs w:val="18"/>
        </w:rPr>
        <w:t>korun</w:t>
      </w:r>
      <w:r w:rsidRPr="008949C6">
        <w:rPr>
          <w:rFonts w:cs="Arial"/>
          <w:sz w:val="20"/>
          <w:szCs w:val="18"/>
        </w:rPr>
        <w:t>. Prostou extrapolací výsledků za 9 měsíců</w:t>
      </w:r>
      <w:r w:rsidR="00812C18">
        <w:rPr>
          <w:rFonts w:cs="Arial"/>
          <w:sz w:val="20"/>
          <w:szCs w:val="18"/>
        </w:rPr>
        <w:t>,</w:t>
      </w:r>
      <w:r w:rsidRPr="008949C6">
        <w:rPr>
          <w:rFonts w:cs="Arial"/>
          <w:sz w:val="20"/>
          <w:szCs w:val="18"/>
        </w:rPr>
        <w:t xml:space="preserve"> </w:t>
      </w:r>
      <w:r w:rsidR="001C04E7">
        <w:rPr>
          <w:rFonts w:cs="Arial"/>
          <w:sz w:val="20"/>
          <w:szCs w:val="18"/>
        </w:rPr>
        <w:br/>
      </w:r>
      <w:r w:rsidRPr="008949C6">
        <w:rPr>
          <w:rFonts w:cs="Arial"/>
          <w:sz w:val="20"/>
          <w:szCs w:val="18"/>
        </w:rPr>
        <w:t xml:space="preserve">tj. 172 mld. </w:t>
      </w:r>
      <w:r w:rsidR="00812C18">
        <w:rPr>
          <w:rFonts w:cs="Arial"/>
          <w:sz w:val="20"/>
          <w:szCs w:val="18"/>
        </w:rPr>
        <w:t>korun,</w:t>
      </w:r>
      <w:r w:rsidRPr="008949C6">
        <w:rPr>
          <w:rFonts w:cs="Arial"/>
          <w:sz w:val="20"/>
          <w:szCs w:val="18"/>
        </w:rPr>
        <w:t xml:space="preserve"> se </w:t>
      </w:r>
      <w:r w:rsidR="00EF52D2">
        <w:rPr>
          <w:rFonts w:cs="Arial"/>
          <w:sz w:val="20"/>
          <w:szCs w:val="18"/>
        </w:rPr>
        <w:t xml:space="preserve">totiž </w:t>
      </w:r>
      <w:r w:rsidRPr="008949C6">
        <w:rPr>
          <w:rFonts w:cs="Arial"/>
          <w:sz w:val="20"/>
          <w:szCs w:val="18"/>
        </w:rPr>
        <w:t xml:space="preserve">dostaneme k číslu 229 mld. </w:t>
      </w:r>
      <w:r w:rsidR="001C04E7">
        <w:rPr>
          <w:rFonts w:cs="Arial"/>
          <w:sz w:val="20"/>
          <w:szCs w:val="18"/>
        </w:rPr>
        <w:t>korun</w:t>
      </w:r>
      <w:r w:rsidRPr="008949C6">
        <w:rPr>
          <w:rFonts w:cs="Arial"/>
          <w:sz w:val="20"/>
          <w:szCs w:val="18"/>
        </w:rPr>
        <w:t xml:space="preserve"> za celý rok 2020.</w:t>
      </w:r>
      <w:r>
        <w:rPr>
          <w:rFonts w:cs="Arial"/>
          <w:sz w:val="20"/>
          <w:szCs w:val="18"/>
        </w:rPr>
        <w:t xml:space="preserve"> </w:t>
      </w:r>
    </w:p>
    <w:p w14:paraId="0E29D095" w14:textId="77777777" w:rsidR="00CF1C84" w:rsidRDefault="00CF1C84" w:rsidP="006526DB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18"/>
        </w:rPr>
      </w:pPr>
    </w:p>
    <w:p w14:paraId="3EE4E4ED" w14:textId="69E1C1BB" w:rsidR="00412859" w:rsidRDefault="001F0F7C" w:rsidP="006526DB">
      <w:pPr>
        <w:spacing w:line="276" w:lineRule="auto"/>
        <w:rPr>
          <w:i/>
          <w:iCs/>
          <w:sz w:val="20"/>
        </w:rPr>
      </w:pPr>
      <w:r w:rsidRPr="00CF1C84">
        <w:rPr>
          <w:rFonts w:cs="Arial"/>
          <w:i/>
          <w:iCs/>
          <w:sz w:val="20"/>
        </w:rPr>
        <w:t>„</w:t>
      </w:r>
      <w:r w:rsidR="001A52B7">
        <w:rPr>
          <w:rFonts w:cs="Arial"/>
          <w:i/>
          <w:iCs/>
          <w:sz w:val="20"/>
        </w:rPr>
        <w:t>L</w:t>
      </w:r>
      <w:r w:rsidRPr="00CF1C84">
        <w:rPr>
          <w:rFonts w:cs="Arial"/>
          <w:i/>
          <w:iCs/>
          <w:sz w:val="20"/>
        </w:rPr>
        <w:t xml:space="preserve">etošní </w:t>
      </w:r>
      <w:r w:rsidR="001A52B7">
        <w:rPr>
          <w:rFonts w:cs="Arial"/>
          <w:i/>
          <w:iCs/>
          <w:sz w:val="20"/>
        </w:rPr>
        <w:t xml:space="preserve">rekordně vysoké </w:t>
      </w:r>
      <w:r w:rsidRPr="00CF1C84">
        <w:rPr>
          <w:rFonts w:cs="Arial"/>
          <w:i/>
          <w:iCs/>
          <w:sz w:val="20"/>
        </w:rPr>
        <w:t xml:space="preserve">objemy jsou </w:t>
      </w:r>
      <w:r w:rsidR="001A52B7">
        <w:rPr>
          <w:rFonts w:cs="Arial"/>
          <w:i/>
          <w:iCs/>
          <w:sz w:val="20"/>
        </w:rPr>
        <w:t>dány ne kusy, ty nejsou nij</w:t>
      </w:r>
      <w:r w:rsidR="00635A8E">
        <w:rPr>
          <w:rFonts w:cs="Arial"/>
          <w:i/>
          <w:iCs/>
          <w:sz w:val="20"/>
        </w:rPr>
        <w:t xml:space="preserve">ak mimořádné, </w:t>
      </w:r>
      <w:r w:rsidR="001A52B7">
        <w:rPr>
          <w:rFonts w:cs="Arial"/>
          <w:i/>
          <w:iCs/>
          <w:sz w:val="20"/>
        </w:rPr>
        <w:t xml:space="preserve">ale </w:t>
      </w:r>
      <w:r w:rsidR="00635A8E">
        <w:rPr>
          <w:rFonts w:cs="Arial"/>
          <w:i/>
          <w:iCs/>
          <w:sz w:val="20"/>
        </w:rPr>
        <w:t>primárně</w:t>
      </w:r>
      <w:r w:rsidR="00CF1C84" w:rsidRPr="00CF1C84">
        <w:rPr>
          <w:i/>
          <w:iCs/>
          <w:sz w:val="20"/>
        </w:rPr>
        <w:t xml:space="preserve"> </w:t>
      </w:r>
      <w:r w:rsidR="001A52B7" w:rsidRPr="00CF1C84">
        <w:rPr>
          <w:i/>
          <w:iCs/>
          <w:sz w:val="20"/>
        </w:rPr>
        <w:t>ce</w:t>
      </w:r>
      <w:r w:rsidR="00635A8E">
        <w:rPr>
          <w:i/>
          <w:iCs/>
          <w:sz w:val="20"/>
        </w:rPr>
        <w:t xml:space="preserve">nami </w:t>
      </w:r>
      <w:r w:rsidR="001A52B7" w:rsidRPr="00CF1C84">
        <w:rPr>
          <w:i/>
          <w:iCs/>
          <w:sz w:val="20"/>
        </w:rPr>
        <w:t>nemovitostí</w:t>
      </w:r>
      <w:r w:rsidR="00635A8E">
        <w:rPr>
          <w:i/>
          <w:iCs/>
          <w:sz w:val="20"/>
        </w:rPr>
        <w:t xml:space="preserve">. Ty </w:t>
      </w:r>
      <w:r w:rsidR="001A52B7">
        <w:rPr>
          <w:i/>
          <w:iCs/>
          <w:sz w:val="20"/>
        </w:rPr>
        <w:t xml:space="preserve">spíše </w:t>
      </w:r>
      <w:r w:rsidR="001A52B7" w:rsidRPr="00CF1C84">
        <w:rPr>
          <w:i/>
          <w:iCs/>
          <w:sz w:val="20"/>
        </w:rPr>
        <w:t>stagnují, v horším případě jdou nahoru</w:t>
      </w:r>
      <w:r w:rsidR="001A52B7">
        <w:rPr>
          <w:i/>
          <w:iCs/>
          <w:sz w:val="20"/>
        </w:rPr>
        <w:t>, čímž stoupá i průměrná výše hypotéky</w:t>
      </w:r>
      <w:r w:rsidR="00E03142">
        <w:rPr>
          <w:i/>
          <w:iCs/>
          <w:sz w:val="20"/>
        </w:rPr>
        <w:t>. Z</w:t>
      </w:r>
      <w:r w:rsidR="00635A8E" w:rsidRPr="00635A8E">
        <w:rPr>
          <w:i/>
          <w:iCs/>
          <w:sz w:val="20"/>
        </w:rPr>
        <w:t xml:space="preserve">ájem </w:t>
      </w:r>
      <w:r w:rsidR="001A52B7">
        <w:rPr>
          <w:i/>
          <w:iCs/>
          <w:sz w:val="20"/>
        </w:rPr>
        <w:t>o hypoték</w:t>
      </w:r>
      <w:r w:rsidR="00635A8E">
        <w:rPr>
          <w:i/>
          <w:iCs/>
          <w:sz w:val="20"/>
        </w:rPr>
        <w:t xml:space="preserve">y </w:t>
      </w:r>
      <w:r w:rsidR="00E03142">
        <w:rPr>
          <w:i/>
          <w:iCs/>
          <w:sz w:val="20"/>
        </w:rPr>
        <w:t xml:space="preserve">přitom </w:t>
      </w:r>
      <w:r w:rsidR="00635A8E">
        <w:rPr>
          <w:i/>
          <w:iCs/>
          <w:sz w:val="20"/>
        </w:rPr>
        <w:t>setrvá</w:t>
      </w:r>
      <w:r w:rsidR="001C04E7">
        <w:rPr>
          <w:i/>
          <w:iCs/>
          <w:sz w:val="20"/>
        </w:rPr>
        <w:t>vá</w:t>
      </w:r>
      <w:r w:rsidR="00E50756">
        <w:rPr>
          <w:i/>
          <w:iCs/>
          <w:sz w:val="20"/>
        </w:rPr>
        <w:t>, za což mohou</w:t>
      </w:r>
      <w:r w:rsidR="001A52B7">
        <w:rPr>
          <w:i/>
          <w:iCs/>
          <w:sz w:val="20"/>
        </w:rPr>
        <w:t xml:space="preserve"> </w:t>
      </w:r>
      <w:r w:rsidR="009948C8">
        <w:rPr>
          <w:i/>
          <w:iCs/>
          <w:sz w:val="20"/>
        </w:rPr>
        <w:t xml:space="preserve">zejména </w:t>
      </w:r>
      <w:r w:rsidR="00635A8E">
        <w:rPr>
          <w:i/>
          <w:iCs/>
          <w:sz w:val="20"/>
        </w:rPr>
        <w:t>nízk</w:t>
      </w:r>
      <w:r w:rsidR="00E50756">
        <w:rPr>
          <w:i/>
          <w:iCs/>
          <w:sz w:val="20"/>
        </w:rPr>
        <w:t>é</w:t>
      </w:r>
      <w:r w:rsidR="00635A8E">
        <w:rPr>
          <w:i/>
          <w:iCs/>
          <w:sz w:val="20"/>
        </w:rPr>
        <w:t xml:space="preserve"> </w:t>
      </w:r>
      <w:r w:rsidR="00CF1C84" w:rsidRPr="00CF1C84">
        <w:rPr>
          <w:i/>
          <w:iCs/>
          <w:sz w:val="20"/>
        </w:rPr>
        <w:t>úrokov</w:t>
      </w:r>
      <w:r w:rsidR="00E50756">
        <w:rPr>
          <w:i/>
          <w:iCs/>
          <w:sz w:val="20"/>
        </w:rPr>
        <w:t>é</w:t>
      </w:r>
      <w:r w:rsidR="00CF1C84" w:rsidRPr="00CF1C84">
        <w:rPr>
          <w:i/>
          <w:iCs/>
          <w:sz w:val="20"/>
        </w:rPr>
        <w:t xml:space="preserve"> sazb</w:t>
      </w:r>
      <w:r w:rsidR="00E50756">
        <w:rPr>
          <w:i/>
          <w:iCs/>
          <w:sz w:val="20"/>
        </w:rPr>
        <w:t>y</w:t>
      </w:r>
      <w:r w:rsidR="00635A8E">
        <w:rPr>
          <w:i/>
          <w:iCs/>
          <w:sz w:val="20"/>
        </w:rPr>
        <w:t xml:space="preserve"> a</w:t>
      </w:r>
      <w:r w:rsidR="00E03142">
        <w:rPr>
          <w:i/>
          <w:iCs/>
          <w:sz w:val="20"/>
        </w:rPr>
        <w:t xml:space="preserve"> </w:t>
      </w:r>
      <w:r w:rsidR="009948C8">
        <w:rPr>
          <w:i/>
          <w:iCs/>
          <w:sz w:val="20"/>
        </w:rPr>
        <w:t>také zrušení d</w:t>
      </w:r>
      <w:r w:rsidR="00635A8E">
        <w:rPr>
          <w:i/>
          <w:iCs/>
          <w:sz w:val="20"/>
        </w:rPr>
        <w:t>aně z nabytí nemovitosti</w:t>
      </w:r>
      <w:r w:rsidR="00E50756">
        <w:rPr>
          <w:i/>
          <w:iCs/>
          <w:sz w:val="20"/>
        </w:rPr>
        <w:t>,</w:t>
      </w:r>
      <w:r w:rsidR="00E03142">
        <w:rPr>
          <w:i/>
          <w:iCs/>
          <w:sz w:val="20"/>
        </w:rPr>
        <w:t xml:space="preserve">“ </w:t>
      </w:r>
      <w:r w:rsidR="00E03142" w:rsidRPr="00E03142">
        <w:rPr>
          <w:sz w:val="20"/>
        </w:rPr>
        <w:t>komentuje Vladimír Staňura, hlavní poradce ČBA</w:t>
      </w:r>
      <w:r w:rsidR="00E50756">
        <w:rPr>
          <w:sz w:val="20"/>
        </w:rPr>
        <w:t xml:space="preserve">. </w:t>
      </w:r>
      <w:r w:rsidR="00E03142" w:rsidRPr="00E03142">
        <w:rPr>
          <w:sz w:val="20"/>
        </w:rPr>
        <w:t xml:space="preserve">Úrokové </w:t>
      </w:r>
      <w:r w:rsidR="00E03142">
        <w:rPr>
          <w:i/>
          <w:iCs/>
          <w:sz w:val="20"/>
        </w:rPr>
        <w:t>s</w:t>
      </w:r>
      <w:r w:rsidR="00E03142" w:rsidRPr="00E03142">
        <w:rPr>
          <w:sz w:val="20"/>
        </w:rPr>
        <w:t>azby</w:t>
      </w:r>
      <w:r w:rsidR="00E03142">
        <w:rPr>
          <w:sz w:val="20"/>
        </w:rPr>
        <w:t xml:space="preserve"> hypotečních úvěrů</w:t>
      </w:r>
      <w:r w:rsidR="00E03142" w:rsidRPr="00E03142">
        <w:rPr>
          <w:sz w:val="20"/>
        </w:rPr>
        <w:t xml:space="preserve"> klesají už šestý měsíc za sebou a v září se dostaly na průměrných 2,07 % (</w:t>
      </w:r>
      <w:proofErr w:type="spellStart"/>
      <w:r w:rsidR="00E03142" w:rsidRPr="00E03142">
        <w:rPr>
          <w:sz w:val="20"/>
        </w:rPr>
        <w:t>Fincentrum</w:t>
      </w:r>
      <w:proofErr w:type="spellEnd"/>
      <w:r w:rsidR="00E03142" w:rsidRPr="00E03142">
        <w:rPr>
          <w:sz w:val="20"/>
        </w:rPr>
        <w:t xml:space="preserve"> </w:t>
      </w:r>
      <w:proofErr w:type="spellStart"/>
      <w:r w:rsidR="00E03142" w:rsidRPr="00E03142">
        <w:rPr>
          <w:sz w:val="20"/>
        </w:rPr>
        <w:t>Hypoindex</w:t>
      </w:r>
      <w:proofErr w:type="spellEnd"/>
      <w:r w:rsidR="00E03142" w:rsidRPr="00E03142">
        <w:rPr>
          <w:sz w:val="20"/>
        </w:rPr>
        <w:t>).</w:t>
      </w:r>
      <w:r w:rsidR="00E03142">
        <w:rPr>
          <w:sz w:val="20"/>
        </w:rPr>
        <w:t xml:space="preserve"> </w:t>
      </w:r>
      <w:r w:rsidR="00E50756">
        <w:rPr>
          <w:sz w:val="20"/>
        </w:rPr>
        <w:t xml:space="preserve">Podle </w:t>
      </w:r>
      <w:r w:rsidR="00532551">
        <w:rPr>
          <w:sz w:val="20"/>
        </w:rPr>
        <w:t xml:space="preserve">Vladimíra </w:t>
      </w:r>
      <w:proofErr w:type="spellStart"/>
      <w:r w:rsidR="00E50756">
        <w:rPr>
          <w:sz w:val="20"/>
        </w:rPr>
        <w:t>Staňury</w:t>
      </w:r>
      <w:proofErr w:type="spellEnd"/>
      <w:r w:rsidR="00E50756">
        <w:rPr>
          <w:sz w:val="20"/>
        </w:rPr>
        <w:t xml:space="preserve"> je další vývoj hypotečních sazeb nejistý: </w:t>
      </w:r>
      <w:r w:rsidR="00E50756" w:rsidRPr="00E50756">
        <w:rPr>
          <w:i/>
          <w:iCs/>
          <w:sz w:val="20"/>
        </w:rPr>
        <w:t xml:space="preserve">„Druhá vlna </w:t>
      </w:r>
      <w:proofErr w:type="spellStart"/>
      <w:r w:rsidR="00E50756" w:rsidRPr="00E50756">
        <w:rPr>
          <w:i/>
          <w:iCs/>
          <w:sz w:val="20"/>
        </w:rPr>
        <w:t>koronaviru</w:t>
      </w:r>
      <w:proofErr w:type="spellEnd"/>
      <w:r w:rsidR="00E50756" w:rsidRPr="00E50756">
        <w:rPr>
          <w:i/>
          <w:iCs/>
          <w:sz w:val="20"/>
        </w:rPr>
        <w:t xml:space="preserve"> způsobila pokles sazeb na mezibankovním trhu. Trh se obává negativního vývoje ekonomiky české i světové a očekává nízké sazby. Banky tak mohou jít se svojí nabídkou hypotečních úrokových sazeb dolů.</w:t>
      </w:r>
      <w:r w:rsidR="00412859" w:rsidRPr="00E50756">
        <w:rPr>
          <w:i/>
          <w:iCs/>
          <w:sz w:val="20"/>
        </w:rPr>
        <w:t xml:space="preserve"> Prostor pro pokles se výrazně snižuje, ale stále ještě existuje.</w:t>
      </w:r>
      <w:r w:rsidR="00E50756" w:rsidRPr="00E50756">
        <w:rPr>
          <w:i/>
          <w:iCs/>
          <w:sz w:val="20"/>
        </w:rPr>
        <w:t>“</w:t>
      </w:r>
    </w:p>
    <w:p w14:paraId="49E1B3E1" w14:textId="72BEACA8" w:rsidR="008531B9" w:rsidRDefault="008531B9" w:rsidP="006526DB">
      <w:pPr>
        <w:spacing w:line="276" w:lineRule="auto"/>
        <w:rPr>
          <w:i/>
          <w:iCs/>
          <w:sz w:val="20"/>
        </w:rPr>
      </w:pPr>
    </w:p>
    <w:p w14:paraId="056C0559" w14:textId="147E2794" w:rsidR="00084CB1" w:rsidRDefault="009948C8" w:rsidP="006526DB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Neutuchající z</w:t>
      </w:r>
      <w:r w:rsidR="004F27A2">
        <w:rPr>
          <w:rFonts w:cs="Arial"/>
          <w:sz w:val="20"/>
          <w:szCs w:val="18"/>
        </w:rPr>
        <w:t>ájem o hypoteční úvěry potvrzuje i průzkum ČBA</w:t>
      </w:r>
      <w:r>
        <w:rPr>
          <w:rFonts w:cs="Arial"/>
          <w:sz w:val="20"/>
          <w:szCs w:val="18"/>
        </w:rPr>
        <w:t>. V něm té</w:t>
      </w:r>
      <w:r w:rsidR="004F27A2">
        <w:rPr>
          <w:rFonts w:cs="Arial"/>
          <w:sz w:val="20"/>
          <w:szCs w:val="18"/>
        </w:rPr>
        <w:t xml:space="preserve">měř desetina </w:t>
      </w:r>
      <w:r>
        <w:rPr>
          <w:rFonts w:cs="Arial"/>
          <w:sz w:val="20"/>
          <w:szCs w:val="18"/>
        </w:rPr>
        <w:t xml:space="preserve">respondentů </w:t>
      </w:r>
      <w:r w:rsidR="004F27A2">
        <w:rPr>
          <w:rFonts w:cs="Arial"/>
          <w:sz w:val="20"/>
          <w:szCs w:val="18"/>
        </w:rPr>
        <w:t xml:space="preserve">přiznala, že hypotéku plánuje i </w:t>
      </w:r>
      <w:r>
        <w:rPr>
          <w:rFonts w:cs="Arial"/>
          <w:sz w:val="20"/>
          <w:szCs w:val="18"/>
        </w:rPr>
        <w:t>navzdory</w:t>
      </w:r>
      <w:r w:rsidR="004F27A2">
        <w:rPr>
          <w:rFonts w:cs="Arial"/>
          <w:sz w:val="20"/>
          <w:szCs w:val="18"/>
        </w:rPr>
        <w:t xml:space="preserve"> probíhající </w:t>
      </w:r>
      <w:proofErr w:type="spellStart"/>
      <w:r w:rsidR="004F27A2">
        <w:rPr>
          <w:rFonts w:cs="Arial"/>
          <w:sz w:val="20"/>
          <w:szCs w:val="18"/>
        </w:rPr>
        <w:t>koronavirov</w:t>
      </w:r>
      <w:r>
        <w:rPr>
          <w:rFonts w:cs="Arial"/>
          <w:sz w:val="20"/>
          <w:szCs w:val="18"/>
        </w:rPr>
        <w:t>é</w:t>
      </w:r>
      <w:proofErr w:type="spellEnd"/>
      <w:r w:rsidR="004F27A2">
        <w:rPr>
          <w:rFonts w:cs="Arial"/>
          <w:sz w:val="20"/>
          <w:szCs w:val="18"/>
        </w:rPr>
        <w:t xml:space="preserve"> pandemii – buď </w:t>
      </w:r>
      <w:r w:rsidR="00084CB1">
        <w:rPr>
          <w:rFonts w:cs="Arial"/>
          <w:sz w:val="20"/>
          <w:szCs w:val="18"/>
        </w:rPr>
        <w:t>ji</w:t>
      </w:r>
      <w:r w:rsidR="004F27A2">
        <w:rPr>
          <w:rFonts w:cs="Arial"/>
          <w:sz w:val="20"/>
          <w:szCs w:val="18"/>
        </w:rPr>
        <w:t xml:space="preserve"> plánovali ještě před vypuknutím pandemie, nebo </w:t>
      </w:r>
      <w:r w:rsidR="00795005">
        <w:rPr>
          <w:rFonts w:cs="Arial"/>
          <w:sz w:val="20"/>
          <w:szCs w:val="18"/>
        </w:rPr>
        <w:t>jejich zájem právě pandemie a současné podmínky na trhu podnítily.</w:t>
      </w:r>
      <w:r w:rsidR="00610C62">
        <w:rPr>
          <w:rFonts w:cs="Arial"/>
          <w:sz w:val="20"/>
          <w:szCs w:val="18"/>
        </w:rPr>
        <w:t xml:space="preserve"> </w:t>
      </w:r>
      <w:r w:rsidR="00795005">
        <w:rPr>
          <w:rFonts w:cs="Arial"/>
          <w:sz w:val="20"/>
          <w:szCs w:val="18"/>
        </w:rPr>
        <w:t xml:space="preserve"> </w:t>
      </w:r>
    </w:p>
    <w:p w14:paraId="0DE3811E" w14:textId="1C15E59A" w:rsidR="001869C9" w:rsidRDefault="00084CB1" w:rsidP="006526DB">
      <w:pPr>
        <w:overflowPunct/>
        <w:autoSpaceDE/>
        <w:autoSpaceDN/>
        <w:adjustRightInd/>
        <w:spacing w:line="276" w:lineRule="auto"/>
        <w:textAlignment w:val="auto"/>
        <w:rPr>
          <w:rFonts w:cs="Arial"/>
          <w:noProof/>
          <w:szCs w:val="16"/>
        </w:rPr>
      </w:pPr>
      <w:r w:rsidRPr="00084CB1">
        <w:rPr>
          <w:rFonts w:cs="Arial"/>
          <w:noProof/>
          <w:szCs w:val="16"/>
        </w:rPr>
        <w:t xml:space="preserve"> </w:t>
      </w:r>
      <w:r w:rsidRPr="005132DB">
        <w:rPr>
          <w:rFonts w:cs="Arial"/>
          <w:noProof/>
          <w:szCs w:val="16"/>
        </w:rPr>
        <w:drawing>
          <wp:inline distT="0" distB="0" distL="0" distR="0" wp14:anchorId="340C8AA3" wp14:editId="5083D614">
            <wp:extent cx="6480810" cy="1571625"/>
            <wp:effectExtent l="0" t="0" r="15240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449C696-48FA-44EA-AC6E-F73A95D9D3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15F640" w14:textId="77777777" w:rsidR="00084CB1" w:rsidRDefault="00084CB1" w:rsidP="006526DB">
      <w:pPr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color w:val="007E79"/>
          <w:sz w:val="20"/>
        </w:rPr>
      </w:pPr>
    </w:p>
    <w:p w14:paraId="429B5C8D" w14:textId="14D224F0" w:rsidR="006526DB" w:rsidRDefault="004F27A2" w:rsidP="006526DB">
      <w:pPr>
        <w:spacing w:line="276" w:lineRule="auto"/>
        <w:rPr>
          <w:rFonts w:cs="Arial"/>
          <w:sz w:val="20"/>
          <w:szCs w:val="18"/>
        </w:rPr>
      </w:pPr>
      <w:r>
        <w:rPr>
          <w:rFonts w:cs="Arial"/>
          <w:i/>
          <w:iCs/>
          <w:sz w:val="20"/>
          <w:szCs w:val="18"/>
        </w:rPr>
        <w:t>„</w:t>
      </w:r>
      <w:r w:rsidRPr="00DC6D53">
        <w:rPr>
          <w:rFonts w:cs="Arial"/>
          <w:i/>
          <w:iCs/>
          <w:sz w:val="20"/>
          <w:szCs w:val="18"/>
        </w:rPr>
        <w:t>Banky hlásí další přísun nových žádostí</w:t>
      </w:r>
      <w:r>
        <w:rPr>
          <w:rFonts w:cs="Arial"/>
          <w:i/>
          <w:iCs/>
          <w:sz w:val="20"/>
          <w:szCs w:val="18"/>
        </w:rPr>
        <w:t>.</w:t>
      </w:r>
      <w:r w:rsidRPr="00DC6D53">
        <w:rPr>
          <w:rFonts w:cs="Arial"/>
          <w:i/>
          <w:iCs/>
          <w:sz w:val="20"/>
          <w:szCs w:val="18"/>
        </w:rPr>
        <w:t xml:space="preserve"> </w:t>
      </w:r>
      <w:r>
        <w:rPr>
          <w:rFonts w:cs="Arial"/>
          <w:i/>
          <w:iCs/>
          <w:sz w:val="20"/>
          <w:szCs w:val="18"/>
        </w:rPr>
        <w:t>J</w:t>
      </w:r>
      <w:r w:rsidRPr="00DC6D53">
        <w:rPr>
          <w:rFonts w:cs="Arial"/>
          <w:i/>
          <w:iCs/>
          <w:sz w:val="20"/>
          <w:szCs w:val="18"/>
        </w:rPr>
        <w:t>e</w:t>
      </w:r>
      <w:r>
        <w:rPr>
          <w:rFonts w:cs="Arial"/>
          <w:i/>
          <w:iCs/>
          <w:sz w:val="20"/>
          <w:szCs w:val="18"/>
        </w:rPr>
        <w:t xml:space="preserve"> tak</w:t>
      </w:r>
      <w:r w:rsidRPr="00DC6D53">
        <w:rPr>
          <w:rFonts w:cs="Arial"/>
          <w:i/>
          <w:iCs/>
          <w:sz w:val="20"/>
          <w:szCs w:val="18"/>
        </w:rPr>
        <w:t xml:space="preserve"> zřejmé, že prodeje hypoték budou pokračovat</w:t>
      </w:r>
      <w:r>
        <w:rPr>
          <w:rFonts w:cs="Arial"/>
          <w:i/>
          <w:iCs/>
          <w:sz w:val="20"/>
          <w:szCs w:val="18"/>
        </w:rPr>
        <w:t xml:space="preserve">, navíc </w:t>
      </w:r>
      <w:r w:rsidRPr="00DC6D53">
        <w:rPr>
          <w:rFonts w:cs="Arial"/>
          <w:i/>
          <w:iCs/>
          <w:sz w:val="20"/>
          <w:szCs w:val="18"/>
        </w:rPr>
        <w:t xml:space="preserve">na trhu je stále velký potenciál zájemců. </w:t>
      </w:r>
      <w:r>
        <w:rPr>
          <w:rFonts w:cs="Arial"/>
          <w:i/>
          <w:iCs/>
          <w:sz w:val="20"/>
          <w:szCs w:val="18"/>
        </w:rPr>
        <w:t>Což</w:t>
      </w:r>
      <w:r w:rsidRPr="00DC6D53">
        <w:rPr>
          <w:rFonts w:cs="Arial"/>
          <w:i/>
          <w:iCs/>
          <w:sz w:val="20"/>
          <w:szCs w:val="18"/>
        </w:rPr>
        <w:t xml:space="preserve"> je dáno </w:t>
      </w:r>
      <w:r>
        <w:rPr>
          <w:rFonts w:cs="Arial"/>
          <w:i/>
          <w:iCs/>
          <w:sz w:val="20"/>
          <w:szCs w:val="18"/>
        </w:rPr>
        <w:t xml:space="preserve">především </w:t>
      </w:r>
      <w:r w:rsidRPr="00DC6D53">
        <w:rPr>
          <w:rFonts w:cs="Arial"/>
          <w:i/>
          <w:iCs/>
          <w:sz w:val="20"/>
          <w:szCs w:val="18"/>
        </w:rPr>
        <w:t>touhou Čechů bydlet ve vlastním jakožto i českým konzervatismem, neboť Češi považují investici do nemovitostí za bezpečnou a zajišťují se jí</w:t>
      </w:r>
      <w:r>
        <w:rPr>
          <w:rFonts w:cs="Arial"/>
          <w:i/>
          <w:iCs/>
          <w:sz w:val="20"/>
          <w:szCs w:val="18"/>
        </w:rPr>
        <w:t xml:space="preserve"> i</w:t>
      </w:r>
      <w:r w:rsidRPr="00DC6D53">
        <w:rPr>
          <w:rFonts w:cs="Arial"/>
          <w:i/>
          <w:iCs/>
          <w:sz w:val="20"/>
          <w:szCs w:val="18"/>
        </w:rPr>
        <w:t xml:space="preserve"> na stáří</w:t>
      </w:r>
      <w:r>
        <w:rPr>
          <w:rFonts w:cs="Arial"/>
          <w:i/>
          <w:iCs/>
          <w:sz w:val="20"/>
          <w:szCs w:val="18"/>
        </w:rPr>
        <w:t xml:space="preserve">,“ </w:t>
      </w:r>
      <w:r>
        <w:rPr>
          <w:rFonts w:cs="Arial"/>
          <w:sz w:val="20"/>
          <w:szCs w:val="18"/>
        </w:rPr>
        <w:t xml:space="preserve">komentuje </w:t>
      </w:r>
      <w:r w:rsidR="00532551">
        <w:rPr>
          <w:rFonts w:cs="Arial"/>
          <w:sz w:val="20"/>
          <w:szCs w:val="18"/>
        </w:rPr>
        <w:t xml:space="preserve">Vladimír </w:t>
      </w:r>
      <w:r>
        <w:rPr>
          <w:rFonts w:cs="Arial"/>
          <w:sz w:val="20"/>
          <w:szCs w:val="18"/>
        </w:rPr>
        <w:t xml:space="preserve">Staňura. </w:t>
      </w:r>
      <w:r w:rsidR="00610C62">
        <w:rPr>
          <w:rFonts w:cs="Arial"/>
          <w:sz w:val="20"/>
          <w:szCs w:val="18"/>
        </w:rPr>
        <w:t xml:space="preserve">Dopočtem lze dojít k tomu, že z věkové skupiny mezi 18 a 49 lety, kam lze zařadit naprostou většinu žadatelů </w:t>
      </w:r>
      <w:r w:rsidR="00B6460B">
        <w:rPr>
          <w:rFonts w:cs="Arial"/>
          <w:sz w:val="20"/>
          <w:szCs w:val="18"/>
        </w:rPr>
        <w:t>o hypoteční úvěr,</w:t>
      </w:r>
      <w:r w:rsidR="00610C62">
        <w:rPr>
          <w:rFonts w:cs="Arial"/>
          <w:sz w:val="20"/>
          <w:szCs w:val="18"/>
        </w:rPr>
        <w:t xml:space="preserve"> o hypotéce nyní uvažuje zhruba 400 tisíc lidí. </w:t>
      </w:r>
    </w:p>
    <w:p w14:paraId="25F23294" w14:textId="77777777" w:rsidR="006526DB" w:rsidRDefault="006526DB" w:rsidP="006526DB">
      <w:pPr>
        <w:spacing w:line="276" w:lineRule="auto"/>
        <w:rPr>
          <w:rFonts w:cs="Arial"/>
          <w:sz w:val="20"/>
          <w:szCs w:val="18"/>
        </w:rPr>
      </w:pPr>
    </w:p>
    <w:p w14:paraId="2FCC3DBC" w14:textId="77777777" w:rsidR="00415B21" w:rsidRDefault="00415B21" w:rsidP="006526DB">
      <w:pPr>
        <w:spacing w:line="276" w:lineRule="auto"/>
        <w:rPr>
          <w:rFonts w:cs="Arial"/>
          <w:b/>
          <w:bCs/>
          <w:color w:val="007E79"/>
          <w:sz w:val="20"/>
        </w:rPr>
      </w:pPr>
    </w:p>
    <w:p w14:paraId="7D39A498" w14:textId="49691283" w:rsidR="00E83EF0" w:rsidRDefault="00E83EF0" w:rsidP="00415B21">
      <w:pPr>
        <w:spacing w:after="120" w:line="276" w:lineRule="auto"/>
        <w:rPr>
          <w:rFonts w:cs="Arial"/>
          <w:b/>
          <w:bCs/>
          <w:color w:val="007E79"/>
          <w:sz w:val="20"/>
        </w:rPr>
      </w:pPr>
      <w:r>
        <w:rPr>
          <w:rFonts w:cs="Arial"/>
          <w:b/>
          <w:bCs/>
          <w:color w:val="007E79"/>
          <w:sz w:val="20"/>
        </w:rPr>
        <w:lastRenderedPageBreak/>
        <w:t>Hypotéka jako cesta k vlastnímu bydlení</w:t>
      </w:r>
    </w:p>
    <w:p w14:paraId="3578A9C8" w14:textId="1A273E45" w:rsidR="00795005" w:rsidRDefault="00795005" w:rsidP="006526DB">
      <w:pPr>
        <w:spacing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Podle průzkumu </w:t>
      </w:r>
      <w:r w:rsidR="00954650">
        <w:rPr>
          <w:rFonts w:cs="Arial"/>
          <w:sz w:val="20"/>
          <w:szCs w:val="18"/>
        </w:rPr>
        <w:t xml:space="preserve">má v současnosti </w:t>
      </w:r>
      <w:r w:rsidR="006526DB">
        <w:rPr>
          <w:rFonts w:cs="Arial"/>
          <w:sz w:val="20"/>
          <w:szCs w:val="18"/>
        </w:rPr>
        <w:t>hypotéku</w:t>
      </w:r>
      <w:r w:rsidR="00954650">
        <w:rPr>
          <w:rFonts w:cs="Arial"/>
          <w:sz w:val="20"/>
          <w:szCs w:val="18"/>
        </w:rPr>
        <w:t xml:space="preserve"> více než pětina Čechů, tedy asi 700 tisíc domácností. </w:t>
      </w:r>
      <w:r w:rsidR="006526DB" w:rsidRPr="006526DB">
        <w:rPr>
          <w:rFonts w:cs="Arial"/>
          <w:i/>
          <w:iCs/>
          <w:sz w:val="20"/>
          <w:szCs w:val="18"/>
        </w:rPr>
        <w:t>„</w:t>
      </w:r>
      <w:r w:rsidR="00954650" w:rsidRPr="006526DB">
        <w:rPr>
          <w:rFonts w:cs="Arial"/>
          <w:i/>
          <w:iCs/>
          <w:sz w:val="20"/>
          <w:szCs w:val="18"/>
        </w:rPr>
        <w:t>Pro Čechy je hy</w:t>
      </w:r>
      <w:r w:rsidR="004F27A2" w:rsidRPr="006526DB">
        <w:rPr>
          <w:rFonts w:cs="Arial"/>
          <w:i/>
          <w:iCs/>
          <w:sz w:val="20"/>
          <w:szCs w:val="18"/>
        </w:rPr>
        <w:t>poték</w:t>
      </w:r>
      <w:r w:rsidR="00954650" w:rsidRPr="006526DB">
        <w:rPr>
          <w:rFonts w:cs="Arial"/>
          <w:i/>
          <w:iCs/>
          <w:sz w:val="20"/>
          <w:szCs w:val="18"/>
        </w:rPr>
        <w:t xml:space="preserve">a </w:t>
      </w:r>
      <w:r w:rsidR="00E83EF0">
        <w:rPr>
          <w:rFonts w:cs="Arial"/>
          <w:i/>
          <w:iCs/>
          <w:sz w:val="20"/>
          <w:szCs w:val="18"/>
        </w:rPr>
        <w:t>v prvé řadě</w:t>
      </w:r>
      <w:r w:rsidR="006526DB" w:rsidRPr="006526DB">
        <w:rPr>
          <w:rFonts w:cs="Arial"/>
          <w:i/>
          <w:iCs/>
          <w:sz w:val="20"/>
          <w:szCs w:val="18"/>
        </w:rPr>
        <w:t xml:space="preserve"> </w:t>
      </w:r>
      <w:r w:rsidR="00954650" w:rsidRPr="006526DB">
        <w:rPr>
          <w:rFonts w:cs="Arial"/>
          <w:i/>
          <w:iCs/>
          <w:sz w:val="20"/>
          <w:szCs w:val="18"/>
        </w:rPr>
        <w:t>cest</w:t>
      </w:r>
      <w:r w:rsidR="00E83EF0">
        <w:rPr>
          <w:rFonts w:cs="Arial"/>
          <w:i/>
          <w:iCs/>
          <w:sz w:val="20"/>
          <w:szCs w:val="18"/>
        </w:rPr>
        <w:t>ou</w:t>
      </w:r>
      <w:r w:rsidR="00954650" w:rsidRPr="006526DB">
        <w:rPr>
          <w:rFonts w:cs="Arial"/>
          <w:i/>
          <w:iCs/>
          <w:sz w:val="20"/>
          <w:szCs w:val="18"/>
        </w:rPr>
        <w:t xml:space="preserve"> k vlastnímu </w:t>
      </w:r>
      <w:r w:rsidR="006526DB" w:rsidRPr="006526DB">
        <w:rPr>
          <w:rFonts w:cs="Arial"/>
          <w:i/>
          <w:iCs/>
          <w:sz w:val="20"/>
          <w:szCs w:val="18"/>
        </w:rPr>
        <w:t xml:space="preserve">bytu či domu, a to </w:t>
      </w:r>
      <w:r w:rsidR="004F27A2" w:rsidRPr="006526DB">
        <w:rPr>
          <w:rFonts w:cs="Arial"/>
          <w:i/>
          <w:iCs/>
          <w:sz w:val="20"/>
          <w:szCs w:val="18"/>
        </w:rPr>
        <w:t xml:space="preserve">ať už jde o ty, kteří hypotéku mají (85 %) či ty, kteří ji teprve plánují (67 %). </w:t>
      </w:r>
      <w:r w:rsidR="006526DB" w:rsidRPr="006526DB">
        <w:rPr>
          <w:rFonts w:cs="Arial"/>
          <w:i/>
          <w:iCs/>
          <w:sz w:val="20"/>
          <w:szCs w:val="18"/>
        </w:rPr>
        <w:t>Značná část</w:t>
      </w:r>
      <w:r w:rsidR="004F27A2" w:rsidRPr="006526DB">
        <w:rPr>
          <w:rFonts w:cs="Arial"/>
          <w:i/>
          <w:iCs/>
          <w:sz w:val="20"/>
          <w:szCs w:val="18"/>
        </w:rPr>
        <w:t xml:space="preserve"> si pak hypotéku pořídila </w:t>
      </w:r>
      <w:r w:rsidR="006526DB" w:rsidRPr="006526DB">
        <w:rPr>
          <w:rFonts w:cs="Arial"/>
          <w:i/>
          <w:iCs/>
          <w:sz w:val="20"/>
          <w:szCs w:val="18"/>
        </w:rPr>
        <w:t xml:space="preserve">(12 %) </w:t>
      </w:r>
      <w:r w:rsidR="004F27A2" w:rsidRPr="006526DB">
        <w:rPr>
          <w:rFonts w:cs="Arial"/>
          <w:i/>
          <w:iCs/>
          <w:sz w:val="20"/>
          <w:szCs w:val="18"/>
        </w:rPr>
        <w:t xml:space="preserve">či plánuje pořídit </w:t>
      </w:r>
      <w:r w:rsidR="006526DB" w:rsidRPr="006526DB">
        <w:rPr>
          <w:rFonts w:cs="Arial"/>
          <w:i/>
          <w:iCs/>
          <w:sz w:val="20"/>
          <w:szCs w:val="18"/>
        </w:rPr>
        <w:t xml:space="preserve">(17 %) </w:t>
      </w:r>
      <w:r w:rsidR="004F27A2" w:rsidRPr="006526DB">
        <w:rPr>
          <w:rFonts w:cs="Arial"/>
          <w:i/>
          <w:iCs/>
          <w:sz w:val="20"/>
          <w:szCs w:val="18"/>
        </w:rPr>
        <w:t xml:space="preserve">kvůli rekonstrukci. </w:t>
      </w:r>
      <w:r w:rsidR="006526DB" w:rsidRPr="006526DB">
        <w:rPr>
          <w:rFonts w:cs="Arial"/>
          <w:i/>
          <w:iCs/>
          <w:sz w:val="20"/>
          <w:szCs w:val="18"/>
        </w:rPr>
        <w:t xml:space="preserve">Na </w:t>
      </w:r>
      <w:r w:rsidR="006161B1">
        <w:rPr>
          <w:rFonts w:cs="Arial"/>
          <w:i/>
          <w:iCs/>
          <w:sz w:val="20"/>
          <w:szCs w:val="18"/>
        </w:rPr>
        <w:br/>
      </w:r>
      <w:r w:rsidR="006526DB" w:rsidRPr="006526DB">
        <w:rPr>
          <w:rFonts w:cs="Arial"/>
          <w:i/>
          <w:iCs/>
          <w:sz w:val="20"/>
          <w:szCs w:val="18"/>
        </w:rPr>
        <w:t xml:space="preserve">10 % </w:t>
      </w:r>
      <w:r w:rsidR="006526DB">
        <w:rPr>
          <w:rFonts w:cs="Arial"/>
          <w:i/>
          <w:iCs/>
          <w:sz w:val="20"/>
          <w:szCs w:val="18"/>
        </w:rPr>
        <w:t>Č</w:t>
      </w:r>
      <w:r w:rsidR="006526DB" w:rsidRPr="006526DB">
        <w:rPr>
          <w:rFonts w:cs="Arial"/>
          <w:i/>
          <w:iCs/>
          <w:sz w:val="20"/>
          <w:szCs w:val="18"/>
        </w:rPr>
        <w:t>echů si hypotéku plánuje pořídit za účelem koupi pozemku</w:t>
      </w:r>
      <w:r w:rsidR="006526DB">
        <w:rPr>
          <w:rFonts w:cs="Arial"/>
          <w:i/>
          <w:iCs/>
          <w:sz w:val="20"/>
          <w:szCs w:val="18"/>
        </w:rPr>
        <w:t xml:space="preserve">,“ </w:t>
      </w:r>
      <w:r w:rsidR="006526DB" w:rsidRPr="006526DB">
        <w:rPr>
          <w:rFonts w:cs="Arial"/>
          <w:sz w:val="20"/>
          <w:szCs w:val="18"/>
        </w:rPr>
        <w:t>komentuje výsledky průzkumu Jana Hamanová, ředitelka agentury SC&amp;C, která pro bankovní asociaci průzkum realizovala.</w:t>
      </w:r>
    </w:p>
    <w:p w14:paraId="793CB8C2" w14:textId="77777777" w:rsidR="00795005" w:rsidRDefault="00795005" w:rsidP="006526DB">
      <w:pPr>
        <w:spacing w:line="276" w:lineRule="auto"/>
        <w:rPr>
          <w:rFonts w:cs="Arial"/>
          <w:sz w:val="20"/>
          <w:szCs w:val="18"/>
        </w:rPr>
      </w:pPr>
    </w:p>
    <w:p w14:paraId="7542A07E" w14:textId="6645C755" w:rsidR="000E0124" w:rsidRPr="005003F8" w:rsidRDefault="007033F2" w:rsidP="006526DB">
      <w:pPr>
        <w:pStyle w:val="Standard"/>
        <w:spacing w:line="276" w:lineRule="auto"/>
        <w:contextualSpacing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Výše hypotéky </w:t>
      </w:r>
      <w:r w:rsidR="00167C37">
        <w:rPr>
          <w:rFonts w:cs="Arial"/>
          <w:sz w:val="20"/>
          <w:szCs w:val="18"/>
        </w:rPr>
        <w:t xml:space="preserve">se </w:t>
      </w:r>
      <w:r w:rsidR="00FB5E7D">
        <w:rPr>
          <w:rFonts w:cs="Arial"/>
          <w:sz w:val="20"/>
          <w:szCs w:val="18"/>
        </w:rPr>
        <w:t xml:space="preserve">nejčastěji </w:t>
      </w:r>
      <w:r w:rsidR="00167C37">
        <w:rPr>
          <w:rFonts w:cs="Arial"/>
          <w:sz w:val="20"/>
          <w:szCs w:val="18"/>
        </w:rPr>
        <w:t>pohybuje v rozmezí jednoho až dvou milionu korun (36 %)</w:t>
      </w:r>
      <w:r w:rsidR="00E83EF0">
        <w:rPr>
          <w:rFonts w:cs="Arial"/>
          <w:sz w:val="20"/>
          <w:szCs w:val="18"/>
        </w:rPr>
        <w:t>, v</w:t>
      </w:r>
      <w:r w:rsidR="00610C62">
        <w:rPr>
          <w:rFonts w:cs="Arial"/>
          <w:sz w:val="20"/>
          <w:szCs w:val="18"/>
        </w:rPr>
        <w:t xml:space="preserve"> tomto </w:t>
      </w:r>
      <w:r w:rsidR="00E83EF0">
        <w:rPr>
          <w:rFonts w:cs="Arial"/>
          <w:sz w:val="20"/>
          <w:szCs w:val="18"/>
        </w:rPr>
        <w:t>září se p</w:t>
      </w:r>
      <w:r w:rsidR="00FB5E7D">
        <w:rPr>
          <w:rFonts w:cs="Arial"/>
          <w:sz w:val="20"/>
          <w:szCs w:val="18"/>
        </w:rPr>
        <w:t xml:space="preserve">růměrná částka podle </w:t>
      </w:r>
      <w:proofErr w:type="spellStart"/>
      <w:r w:rsidR="00FB5E7D">
        <w:rPr>
          <w:rFonts w:cs="Arial"/>
          <w:sz w:val="20"/>
          <w:szCs w:val="18"/>
        </w:rPr>
        <w:t>Fincentrum</w:t>
      </w:r>
      <w:proofErr w:type="spellEnd"/>
      <w:r w:rsidR="00FB5E7D">
        <w:rPr>
          <w:rFonts w:cs="Arial"/>
          <w:sz w:val="20"/>
          <w:szCs w:val="18"/>
        </w:rPr>
        <w:t xml:space="preserve"> </w:t>
      </w:r>
      <w:proofErr w:type="spellStart"/>
      <w:r w:rsidR="00FB5E7D">
        <w:rPr>
          <w:rFonts w:cs="Arial"/>
          <w:sz w:val="20"/>
          <w:szCs w:val="18"/>
        </w:rPr>
        <w:t>Hypoi</w:t>
      </w:r>
      <w:r w:rsidR="00E83EF0">
        <w:rPr>
          <w:rFonts w:cs="Arial"/>
          <w:sz w:val="20"/>
          <w:szCs w:val="18"/>
        </w:rPr>
        <w:t>nd</w:t>
      </w:r>
      <w:r w:rsidR="00FB5E7D">
        <w:rPr>
          <w:rFonts w:cs="Arial"/>
          <w:sz w:val="20"/>
          <w:szCs w:val="18"/>
        </w:rPr>
        <w:t>ex</w:t>
      </w:r>
      <w:proofErr w:type="spellEnd"/>
      <w:r w:rsidR="00E83EF0">
        <w:rPr>
          <w:rFonts w:cs="Arial"/>
          <w:sz w:val="20"/>
          <w:szCs w:val="18"/>
        </w:rPr>
        <w:t xml:space="preserve"> </w:t>
      </w:r>
      <w:r w:rsidR="00FB5E7D">
        <w:rPr>
          <w:rFonts w:cs="Arial"/>
          <w:sz w:val="20"/>
          <w:szCs w:val="18"/>
        </w:rPr>
        <w:t>vyšplhala na 2,8 milionu korun</w:t>
      </w:r>
      <w:r w:rsidR="005003F8">
        <w:rPr>
          <w:rFonts w:cs="Arial"/>
          <w:sz w:val="20"/>
          <w:szCs w:val="18"/>
        </w:rPr>
        <w:t xml:space="preserve">. </w:t>
      </w:r>
      <w:r w:rsidR="000E0124">
        <w:rPr>
          <w:rFonts w:cs="Arial"/>
          <w:sz w:val="20"/>
          <w:szCs w:val="18"/>
        </w:rPr>
        <w:t xml:space="preserve">S rostoucí průměrnou </w:t>
      </w:r>
      <w:r w:rsidR="00610C62">
        <w:rPr>
          <w:rFonts w:cs="Arial"/>
          <w:sz w:val="20"/>
          <w:szCs w:val="18"/>
        </w:rPr>
        <w:t>výší</w:t>
      </w:r>
      <w:r w:rsidR="000E0124">
        <w:rPr>
          <w:rFonts w:cs="Arial"/>
          <w:sz w:val="20"/>
          <w:szCs w:val="18"/>
        </w:rPr>
        <w:t xml:space="preserve"> </w:t>
      </w:r>
      <w:r w:rsidR="005003F8">
        <w:rPr>
          <w:rFonts w:cs="Arial"/>
          <w:sz w:val="20"/>
          <w:szCs w:val="18"/>
        </w:rPr>
        <w:t>roste</w:t>
      </w:r>
      <w:r w:rsidR="000E0124">
        <w:rPr>
          <w:rFonts w:cs="Arial"/>
          <w:sz w:val="20"/>
          <w:szCs w:val="18"/>
        </w:rPr>
        <w:t xml:space="preserve"> i</w:t>
      </w:r>
      <w:r w:rsidR="00FB5E7D">
        <w:rPr>
          <w:rFonts w:cs="Arial"/>
          <w:sz w:val="20"/>
          <w:szCs w:val="18"/>
        </w:rPr>
        <w:t xml:space="preserve"> </w:t>
      </w:r>
      <w:r w:rsidR="005003F8">
        <w:rPr>
          <w:rFonts w:cs="Arial"/>
          <w:sz w:val="20"/>
          <w:szCs w:val="18"/>
        </w:rPr>
        <w:t>průměrná</w:t>
      </w:r>
      <w:r w:rsidR="000E0124">
        <w:rPr>
          <w:rFonts w:cs="Arial"/>
          <w:sz w:val="20"/>
          <w:szCs w:val="18"/>
        </w:rPr>
        <w:t xml:space="preserve"> d</w:t>
      </w:r>
      <w:r w:rsidR="005003F8">
        <w:rPr>
          <w:rFonts w:cs="Arial"/>
          <w:sz w:val="20"/>
          <w:szCs w:val="18"/>
        </w:rPr>
        <w:t>oba sjednávané hypotéky</w:t>
      </w:r>
      <w:r w:rsidR="000E0124">
        <w:rPr>
          <w:rFonts w:cs="Arial"/>
          <w:sz w:val="20"/>
          <w:szCs w:val="18"/>
        </w:rPr>
        <w:t>. T</w:t>
      </w:r>
      <w:r w:rsidR="005003F8">
        <w:rPr>
          <w:rFonts w:cs="Arial"/>
          <w:sz w:val="20"/>
          <w:szCs w:val="18"/>
        </w:rPr>
        <w:t xml:space="preserve">o je </w:t>
      </w:r>
      <w:r w:rsidR="00FB5E7D">
        <w:rPr>
          <w:rFonts w:cs="Arial"/>
          <w:sz w:val="20"/>
          <w:szCs w:val="18"/>
        </w:rPr>
        <w:t xml:space="preserve">podle </w:t>
      </w:r>
      <w:r w:rsidR="00532551">
        <w:rPr>
          <w:rFonts w:cs="Arial"/>
          <w:sz w:val="20"/>
          <w:szCs w:val="18"/>
        </w:rPr>
        <w:t xml:space="preserve">Vladimíra </w:t>
      </w:r>
      <w:proofErr w:type="spellStart"/>
      <w:r w:rsidR="00FB5E7D">
        <w:rPr>
          <w:rFonts w:cs="Arial"/>
          <w:sz w:val="20"/>
          <w:szCs w:val="18"/>
        </w:rPr>
        <w:t>Staňury</w:t>
      </w:r>
      <w:proofErr w:type="spellEnd"/>
      <w:r w:rsidR="00FB5E7D">
        <w:rPr>
          <w:rFonts w:cs="Arial"/>
          <w:sz w:val="20"/>
          <w:szCs w:val="18"/>
        </w:rPr>
        <w:t xml:space="preserve"> </w:t>
      </w:r>
      <w:r w:rsidR="005003F8">
        <w:rPr>
          <w:rFonts w:cs="Arial"/>
          <w:sz w:val="20"/>
          <w:szCs w:val="18"/>
        </w:rPr>
        <w:t xml:space="preserve">zcela logické, neboť ti, kteří si vezmou vyšší </w:t>
      </w:r>
      <w:r w:rsidR="00412859">
        <w:rPr>
          <w:rFonts w:cs="Arial"/>
          <w:sz w:val="20"/>
          <w:szCs w:val="18"/>
        </w:rPr>
        <w:t>částku</w:t>
      </w:r>
      <w:r w:rsidR="005003F8">
        <w:rPr>
          <w:rFonts w:cs="Arial"/>
          <w:sz w:val="20"/>
          <w:szCs w:val="18"/>
        </w:rPr>
        <w:t xml:space="preserve">, si splátky rozloží do delšího časového horizontu, aby nezatížili svůj </w:t>
      </w:r>
      <w:r w:rsidR="00E83EF0">
        <w:rPr>
          <w:rFonts w:cs="Arial"/>
          <w:sz w:val="20"/>
          <w:szCs w:val="18"/>
        </w:rPr>
        <w:t xml:space="preserve">měsíční </w:t>
      </w:r>
      <w:r w:rsidR="005003F8">
        <w:rPr>
          <w:rFonts w:cs="Arial"/>
          <w:sz w:val="20"/>
          <w:szCs w:val="18"/>
        </w:rPr>
        <w:t xml:space="preserve">rodinný rozpočet. </w:t>
      </w:r>
      <w:r w:rsidR="000E0124" w:rsidRPr="005003F8">
        <w:rPr>
          <w:rFonts w:cs="Arial"/>
          <w:sz w:val="20"/>
          <w:szCs w:val="18"/>
        </w:rPr>
        <w:t xml:space="preserve">Obvyklá doba splácení hypoték </w:t>
      </w:r>
      <w:r w:rsidR="005003F8" w:rsidRPr="005003F8">
        <w:rPr>
          <w:rFonts w:cs="Arial"/>
          <w:sz w:val="20"/>
          <w:szCs w:val="18"/>
        </w:rPr>
        <w:t xml:space="preserve">je podle průzkumu </w:t>
      </w:r>
      <w:r w:rsidR="005003F8">
        <w:rPr>
          <w:rFonts w:cs="Arial"/>
          <w:sz w:val="20"/>
          <w:szCs w:val="18"/>
        </w:rPr>
        <w:t xml:space="preserve">ČBA </w:t>
      </w:r>
      <w:r w:rsidR="00B6460B">
        <w:rPr>
          <w:rFonts w:cs="Arial"/>
          <w:sz w:val="20"/>
          <w:szCs w:val="18"/>
        </w:rPr>
        <w:t xml:space="preserve">mezi </w:t>
      </w:r>
      <w:r w:rsidR="000E0124" w:rsidRPr="005003F8">
        <w:rPr>
          <w:rFonts w:cs="Arial"/>
          <w:sz w:val="20"/>
          <w:szCs w:val="18"/>
        </w:rPr>
        <w:t>2</w:t>
      </w:r>
      <w:r w:rsidR="00FB5E7D" w:rsidRPr="005003F8">
        <w:rPr>
          <w:rFonts w:cs="Arial"/>
          <w:sz w:val="20"/>
          <w:szCs w:val="18"/>
        </w:rPr>
        <w:t>5</w:t>
      </w:r>
      <w:r w:rsidR="000E0124" w:rsidRPr="005003F8">
        <w:rPr>
          <w:rFonts w:cs="Arial"/>
          <w:sz w:val="20"/>
          <w:szCs w:val="18"/>
        </w:rPr>
        <w:t xml:space="preserve"> </w:t>
      </w:r>
      <w:r w:rsidR="00B6460B">
        <w:rPr>
          <w:rFonts w:cs="Arial"/>
          <w:sz w:val="20"/>
          <w:szCs w:val="18"/>
        </w:rPr>
        <w:t>a 30 lety</w:t>
      </w:r>
      <w:r w:rsidR="00FB5E7D" w:rsidRPr="005003F8">
        <w:rPr>
          <w:rFonts w:cs="Arial"/>
          <w:sz w:val="20"/>
          <w:szCs w:val="18"/>
        </w:rPr>
        <w:t xml:space="preserve"> (56 %)</w:t>
      </w:r>
      <w:r w:rsidR="00B6460B">
        <w:rPr>
          <w:rFonts w:cs="Arial"/>
          <w:sz w:val="20"/>
          <w:szCs w:val="18"/>
        </w:rPr>
        <w:t>, v 17 % mezi 20 a 24 lety</w:t>
      </w:r>
      <w:r w:rsidR="000E0124" w:rsidRPr="005003F8">
        <w:rPr>
          <w:rFonts w:cs="Arial"/>
          <w:sz w:val="20"/>
          <w:szCs w:val="18"/>
        </w:rPr>
        <w:t xml:space="preserve">. </w:t>
      </w:r>
      <w:r w:rsidR="00B6460B">
        <w:rPr>
          <w:rFonts w:cs="Arial"/>
          <w:sz w:val="20"/>
          <w:szCs w:val="18"/>
        </w:rPr>
        <w:t>D</w:t>
      </w:r>
      <w:r w:rsidR="00B6460B" w:rsidRPr="005003F8">
        <w:rPr>
          <w:rFonts w:cs="Arial"/>
          <w:sz w:val="20"/>
          <w:szCs w:val="18"/>
        </w:rPr>
        <w:t xml:space="preserve">oba splácení </w:t>
      </w:r>
      <w:r>
        <w:rPr>
          <w:rFonts w:cs="Arial"/>
          <w:sz w:val="20"/>
          <w:szCs w:val="18"/>
        </w:rPr>
        <w:t xml:space="preserve">je </w:t>
      </w:r>
      <w:r w:rsidR="005003F8" w:rsidRPr="005003F8">
        <w:rPr>
          <w:rFonts w:cs="Arial"/>
          <w:sz w:val="20"/>
          <w:szCs w:val="18"/>
        </w:rPr>
        <w:t xml:space="preserve">kromě výše hypotéky </w:t>
      </w:r>
      <w:r w:rsidR="00B6460B">
        <w:rPr>
          <w:rFonts w:cs="Arial"/>
          <w:sz w:val="20"/>
          <w:szCs w:val="18"/>
        </w:rPr>
        <w:t xml:space="preserve">logicky </w:t>
      </w:r>
      <w:r>
        <w:rPr>
          <w:rFonts w:cs="Arial"/>
          <w:sz w:val="20"/>
          <w:szCs w:val="18"/>
        </w:rPr>
        <w:t>ovlivněna</w:t>
      </w:r>
      <w:r w:rsidR="005003F8" w:rsidRPr="005003F8">
        <w:rPr>
          <w:rFonts w:cs="Arial"/>
          <w:sz w:val="20"/>
          <w:szCs w:val="18"/>
        </w:rPr>
        <w:t xml:space="preserve"> i</w:t>
      </w:r>
      <w:r w:rsidR="000E0124" w:rsidRPr="005003F8">
        <w:rPr>
          <w:rFonts w:cs="Arial"/>
          <w:sz w:val="20"/>
          <w:szCs w:val="18"/>
        </w:rPr>
        <w:t> věkem žadatelů: „</w:t>
      </w:r>
      <w:r w:rsidR="005003F8" w:rsidRPr="005003F8">
        <w:rPr>
          <w:rFonts w:cs="Arial"/>
          <w:i/>
          <w:iCs/>
          <w:sz w:val="20"/>
          <w:szCs w:val="18"/>
        </w:rPr>
        <w:t>Kratší dobu mají nastavenou starší lidé, naopak na více než 20 let se upisují lidé do 40 let</w:t>
      </w:r>
      <w:r w:rsidR="005003F8" w:rsidRPr="005003F8">
        <w:rPr>
          <w:rFonts w:cs="Arial"/>
          <w:sz w:val="20"/>
          <w:szCs w:val="18"/>
        </w:rPr>
        <w:t xml:space="preserve">,“ </w:t>
      </w:r>
      <w:r w:rsidR="000E0124" w:rsidRPr="005003F8">
        <w:rPr>
          <w:rFonts w:cs="Arial"/>
          <w:sz w:val="20"/>
          <w:szCs w:val="18"/>
        </w:rPr>
        <w:t>říká Jana Hamanová</w:t>
      </w:r>
      <w:r w:rsidR="00E83EF0">
        <w:rPr>
          <w:rFonts w:cs="Arial"/>
          <w:sz w:val="20"/>
          <w:szCs w:val="18"/>
        </w:rPr>
        <w:t>.</w:t>
      </w:r>
      <w:r w:rsidR="000E0124">
        <w:rPr>
          <w:rFonts w:cs="Arial"/>
          <w:szCs w:val="18"/>
        </w:rPr>
        <w:t xml:space="preserve"> </w:t>
      </w:r>
    </w:p>
    <w:p w14:paraId="7254604D" w14:textId="6F1C28F1" w:rsidR="00962E68" w:rsidRDefault="00962E68" w:rsidP="006526DB">
      <w:pPr>
        <w:spacing w:line="276" w:lineRule="auto"/>
        <w:rPr>
          <w:rFonts w:cs="Arial"/>
          <w:sz w:val="20"/>
          <w:szCs w:val="18"/>
        </w:rPr>
      </w:pPr>
    </w:p>
    <w:p w14:paraId="6C2A4939" w14:textId="776D13D3" w:rsidR="00C4108B" w:rsidRDefault="00415B21" w:rsidP="006526DB">
      <w:pPr>
        <w:spacing w:after="120" w:line="276" w:lineRule="auto"/>
        <w:rPr>
          <w:rFonts w:cs="Arial"/>
          <w:b/>
          <w:bCs/>
          <w:color w:val="007E79"/>
          <w:sz w:val="20"/>
        </w:rPr>
      </w:pPr>
      <w:r>
        <w:rPr>
          <w:rFonts w:cs="Arial"/>
          <w:b/>
          <w:bCs/>
          <w:color w:val="007E79"/>
          <w:sz w:val="20"/>
        </w:rPr>
        <w:t>Při výběru nemovitosti se Češi řídí především cenou, více než poradci věří svému úsudku</w:t>
      </w:r>
    </w:p>
    <w:p w14:paraId="368049A2" w14:textId="3A62EB82" w:rsidR="0079363F" w:rsidRDefault="00B6460B" w:rsidP="006526DB">
      <w:pPr>
        <w:pStyle w:val="Standard"/>
        <w:spacing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V otázce způsobu vybírání </w:t>
      </w:r>
      <w:r w:rsidR="005132DB" w:rsidRPr="005132DB">
        <w:rPr>
          <w:rFonts w:cs="Arial"/>
          <w:sz w:val="20"/>
        </w:rPr>
        <w:t>hypotéky</w:t>
      </w:r>
      <w:r>
        <w:rPr>
          <w:rFonts w:cs="Arial"/>
          <w:sz w:val="20"/>
        </w:rPr>
        <w:t xml:space="preserve"> průzkum ukázal </w:t>
      </w:r>
      <w:r w:rsidR="005132DB">
        <w:rPr>
          <w:rFonts w:cs="Arial"/>
          <w:sz w:val="20"/>
        </w:rPr>
        <w:t>podstatné</w:t>
      </w:r>
      <w:r w:rsidR="005132DB" w:rsidRPr="005132DB">
        <w:rPr>
          <w:rFonts w:cs="Arial"/>
          <w:sz w:val="20"/>
        </w:rPr>
        <w:t xml:space="preserve"> rozdíly mezi těmi, kteří hypotéku mají</w:t>
      </w:r>
      <w:r w:rsidR="00904B49">
        <w:rPr>
          <w:rFonts w:cs="Arial"/>
          <w:sz w:val="20"/>
        </w:rPr>
        <w:t>,</w:t>
      </w:r>
      <w:r w:rsidR="005132DB" w:rsidRPr="005132DB">
        <w:rPr>
          <w:rFonts w:cs="Arial"/>
          <w:sz w:val="20"/>
        </w:rPr>
        <w:t xml:space="preserve"> a těmi, kteří ji teprve plánují.</w:t>
      </w:r>
      <w:r w:rsidR="005132DB">
        <w:rPr>
          <w:rFonts w:cs="Arial"/>
          <w:sz w:val="20"/>
        </w:rPr>
        <w:t xml:space="preserve"> </w:t>
      </w:r>
      <w:r w:rsidR="005132DB" w:rsidRPr="00542484">
        <w:rPr>
          <w:rFonts w:cs="Arial"/>
          <w:sz w:val="20"/>
        </w:rPr>
        <w:t xml:space="preserve">Na doporučení finančního poradce </w:t>
      </w:r>
      <w:r w:rsidR="00DD42EF">
        <w:rPr>
          <w:rFonts w:cs="Arial"/>
          <w:sz w:val="20"/>
        </w:rPr>
        <w:t>dali</w:t>
      </w:r>
      <w:r w:rsidR="005132DB" w:rsidRPr="00542484">
        <w:rPr>
          <w:rFonts w:cs="Arial"/>
          <w:sz w:val="20"/>
        </w:rPr>
        <w:t xml:space="preserve"> především lidé, kteří hypotéku již mají (45 %), naopak ti, kteří ji teprve plánují</w:t>
      </w:r>
      <w:r>
        <w:rPr>
          <w:rFonts w:cs="Arial"/>
          <w:sz w:val="20"/>
        </w:rPr>
        <w:t>,</w:t>
      </w:r>
      <w:r w:rsidR="005132DB" w:rsidRPr="00542484">
        <w:rPr>
          <w:rFonts w:cs="Arial"/>
          <w:sz w:val="20"/>
        </w:rPr>
        <w:t xml:space="preserve"> </w:t>
      </w:r>
      <w:r w:rsidR="00422826">
        <w:rPr>
          <w:rFonts w:cs="Arial"/>
          <w:sz w:val="20"/>
        </w:rPr>
        <w:t xml:space="preserve">tedy především mladší generace, </w:t>
      </w:r>
      <w:r w:rsidR="005132DB" w:rsidRPr="00542484">
        <w:rPr>
          <w:rFonts w:cs="Arial"/>
          <w:sz w:val="20"/>
        </w:rPr>
        <w:t>se chtějí rozhodovat na základě úrokové sazby (53 %) a výše RPSN (42 %).</w:t>
      </w:r>
      <w:r w:rsidR="005132DB" w:rsidRPr="00542484">
        <w:rPr>
          <w:rFonts w:cs="Arial"/>
          <w:i/>
          <w:iCs/>
          <w:sz w:val="20"/>
        </w:rPr>
        <w:t xml:space="preserve"> „</w:t>
      </w:r>
      <w:r>
        <w:rPr>
          <w:rFonts w:cs="Arial"/>
          <w:i/>
          <w:iCs/>
          <w:sz w:val="20"/>
        </w:rPr>
        <w:t xml:space="preserve">Projevuje se zde rozdílnost generací. </w:t>
      </w:r>
      <w:r w:rsidR="005132DB" w:rsidRPr="00542484">
        <w:rPr>
          <w:rFonts w:cs="Arial"/>
          <w:i/>
          <w:iCs/>
          <w:sz w:val="20"/>
        </w:rPr>
        <w:t>Dnešní zájemci dají více na svůj vlastní úsudek</w:t>
      </w:r>
      <w:r>
        <w:rPr>
          <w:rFonts w:cs="Arial"/>
          <w:i/>
          <w:iCs/>
          <w:sz w:val="20"/>
        </w:rPr>
        <w:t>. S</w:t>
      </w:r>
      <w:r w:rsidR="005132DB" w:rsidRPr="00542484">
        <w:rPr>
          <w:rFonts w:cs="Arial"/>
          <w:i/>
          <w:iCs/>
          <w:sz w:val="20"/>
        </w:rPr>
        <w:t xml:space="preserve">oučasně je </w:t>
      </w:r>
      <w:r w:rsidR="00422826">
        <w:rPr>
          <w:rFonts w:cs="Arial"/>
          <w:i/>
          <w:iCs/>
          <w:sz w:val="20"/>
        </w:rPr>
        <w:t xml:space="preserve">dnes </w:t>
      </w:r>
      <w:r w:rsidR="00422826" w:rsidRPr="00542484">
        <w:rPr>
          <w:rFonts w:cs="Arial"/>
          <w:i/>
          <w:iCs/>
          <w:sz w:val="20"/>
        </w:rPr>
        <w:t>dostupn</w:t>
      </w:r>
      <w:r w:rsidR="00422826">
        <w:rPr>
          <w:rFonts w:cs="Arial"/>
          <w:i/>
          <w:iCs/>
          <w:sz w:val="20"/>
        </w:rPr>
        <w:t>é</w:t>
      </w:r>
      <w:r w:rsidR="00422826" w:rsidRPr="00542484">
        <w:rPr>
          <w:rFonts w:cs="Arial"/>
          <w:i/>
          <w:iCs/>
          <w:sz w:val="20"/>
        </w:rPr>
        <w:t xml:space="preserve"> </w:t>
      </w:r>
      <w:r w:rsidR="005132DB" w:rsidRPr="00542484">
        <w:rPr>
          <w:rFonts w:cs="Arial"/>
          <w:i/>
          <w:iCs/>
          <w:sz w:val="20"/>
        </w:rPr>
        <w:t>větší množství informací</w:t>
      </w:r>
      <w:r w:rsidR="00422826">
        <w:rPr>
          <w:rFonts w:cs="Arial"/>
          <w:i/>
          <w:iCs/>
          <w:sz w:val="20"/>
        </w:rPr>
        <w:t>, dle nichž se lze</w:t>
      </w:r>
      <w:r>
        <w:rPr>
          <w:rFonts w:cs="Arial"/>
          <w:i/>
          <w:iCs/>
          <w:sz w:val="20"/>
        </w:rPr>
        <w:t xml:space="preserve"> zorientovat, </w:t>
      </w:r>
      <w:r w:rsidR="00422826">
        <w:rPr>
          <w:rFonts w:cs="Arial"/>
          <w:i/>
          <w:iCs/>
          <w:sz w:val="20"/>
        </w:rPr>
        <w:t>na internetu, s nímž mladší generace umí o něco lépe pracovat</w:t>
      </w:r>
      <w:r w:rsidR="005132DB" w:rsidRPr="00542484">
        <w:rPr>
          <w:rFonts w:cs="Arial"/>
          <w:i/>
          <w:iCs/>
          <w:sz w:val="20"/>
        </w:rPr>
        <w:t xml:space="preserve">,“ </w:t>
      </w:r>
      <w:r w:rsidR="005132DB" w:rsidRPr="00542484">
        <w:rPr>
          <w:rFonts w:cs="Arial"/>
          <w:sz w:val="20"/>
        </w:rPr>
        <w:t>zamýšlí se</w:t>
      </w:r>
      <w:r w:rsidR="00532551">
        <w:rPr>
          <w:rFonts w:cs="Arial"/>
          <w:sz w:val="20"/>
        </w:rPr>
        <w:t xml:space="preserve"> Vladimír</w:t>
      </w:r>
      <w:r w:rsidR="005132DB" w:rsidRPr="00542484">
        <w:rPr>
          <w:rFonts w:cs="Arial"/>
          <w:sz w:val="20"/>
        </w:rPr>
        <w:t xml:space="preserve"> Staňura.</w:t>
      </w:r>
      <w:r w:rsidR="0079363F">
        <w:rPr>
          <w:rFonts w:cs="Arial"/>
          <w:sz w:val="20"/>
        </w:rPr>
        <w:t xml:space="preserve"> </w:t>
      </w:r>
    </w:p>
    <w:p w14:paraId="7363D910" w14:textId="77777777" w:rsidR="0079363F" w:rsidRDefault="0079363F" w:rsidP="006526DB">
      <w:pPr>
        <w:pStyle w:val="Standard"/>
        <w:spacing w:line="276" w:lineRule="auto"/>
        <w:contextualSpacing/>
        <w:rPr>
          <w:rFonts w:cs="Arial"/>
          <w:sz w:val="20"/>
        </w:rPr>
      </w:pPr>
    </w:p>
    <w:p w14:paraId="28C58640" w14:textId="252CD716" w:rsidR="00715DF2" w:rsidRPr="00715DF2" w:rsidRDefault="005132DB" w:rsidP="006526DB">
      <w:pPr>
        <w:pStyle w:val="Standard"/>
        <w:spacing w:line="276" w:lineRule="auto"/>
        <w:contextualSpacing/>
        <w:rPr>
          <w:rFonts w:cs="Arial"/>
          <w:sz w:val="20"/>
        </w:rPr>
      </w:pPr>
      <w:r w:rsidRPr="00715DF2">
        <w:rPr>
          <w:rFonts w:cs="Arial"/>
          <w:sz w:val="20"/>
        </w:rPr>
        <w:t xml:space="preserve">Při výběru nemovitosti </w:t>
      </w:r>
      <w:r w:rsidR="00715DF2" w:rsidRPr="00715DF2">
        <w:rPr>
          <w:rFonts w:cs="Arial"/>
          <w:sz w:val="20"/>
        </w:rPr>
        <w:t xml:space="preserve">je </w:t>
      </w:r>
      <w:r w:rsidR="00FC3199">
        <w:rPr>
          <w:rFonts w:cs="Arial"/>
          <w:sz w:val="20"/>
        </w:rPr>
        <w:t xml:space="preserve">pak </w:t>
      </w:r>
      <w:r w:rsidR="00715DF2" w:rsidRPr="00715DF2">
        <w:rPr>
          <w:rFonts w:cs="Arial"/>
          <w:sz w:val="20"/>
        </w:rPr>
        <w:t>pro 32 % Čechů podstatná především její cena a velikost (18 %). Podle</w:t>
      </w:r>
      <w:r w:rsidR="00532551">
        <w:rPr>
          <w:rFonts w:cs="Arial"/>
          <w:sz w:val="20"/>
        </w:rPr>
        <w:t xml:space="preserve"> Vladimíra</w:t>
      </w:r>
      <w:r w:rsidRPr="00715DF2">
        <w:rPr>
          <w:rFonts w:cs="Arial"/>
          <w:sz w:val="20"/>
        </w:rPr>
        <w:t xml:space="preserve"> </w:t>
      </w:r>
      <w:proofErr w:type="spellStart"/>
      <w:r w:rsidRPr="00715DF2">
        <w:rPr>
          <w:rFonts w:cs="Arial"/>
          <w:sz w:val="20"/>
        </w:rPr>
        <w:t>Staňury</w:t>
      </w:r>
      <w:proofErr w:type="spellEnd"/>
      <w:r w:rsidR="00715DF2" w:rsidRPr="00715DF2">
        <w:rPr>
          <w:rFonts w:cs="Arial"/>
          <w:sz w:val="20"/>
        </w:rPr>
        <w:t xml:space="preserve"> se však celý výběr,</w:t>
      </w:r>
      <w:r w:rsidRPr="00715DF2">
        <w:rPr>
          <w:rFonts w:cs="Arial"/>
          <w:sz w:val="20"/>
        </w:rPr>
        <w:t xml:space="preserve"> </w:t>
      </w:r>
      <w:r w:rsidR="00715DF2" w:rsidRPr="00715DF2">
        <w:rPr>
          <w:rFonts w:cs="Arial"/>
          <w:sz w:val="20"/>
        </w:rPr>
        <w:t xml:space="preserve">aniž bychom si to </w:t>
      </w:r>
      <w:r w:rsidR="00422826">
        <w:rPr>
          <w:rFonts w:cs="Arial"/>
          <w:sz w:val="20"/>
        </w:rPr>
        <w:t xml:space="preserve">plně </w:t>
      </w:r>
      <w:r w:rsidR="00715DF2" w:rsidRPr="00715DF2">
        <w:rPr>
          <w:rFonts w:cs="Arial"/>
          <w:sz w:val="20"/>
        </w:rPr>
        <w:t xml:space="preserve">uvědomovali, odvíjí od </w:t>
      </w:r>
      <w:r w:rsidR="00422826">
        <w:rPr>
          <w:rFonts w:cs="Arial"/>
          <w:sz w:val="20"/>
        </w:rPr>
        <w:t xml:space="preserve">umístění </w:t>
      </w:r>
      <w:r w:rsidR="00715DF2" w:rsidRPr="00715DF2">
        <w:rPr>
          <w:rFonts w:cs="Arial"/>
          <w:sz w:val="20"/>
        </w:rPr>
        <w:t xml:space="preserve">nemovitosti – </w:t>
      </w:r>
      <w:r w:rsidR="00422826">
        <w:rPr>
          <w:rFonts w:cs="Arial"/>
          <w:sz w:val="20"/>
        </w:rPr>
        <w:t>části Česka, lokality v centru či</w:t>
      </w:r>
      <w:r w:rsidR="007F544F">
        <w:rPr>
          <w:rFonts w:cs="Arial"/>
          <w:sz w:val="20"/>
        </w:rPr>
        <w:t xml:space="preserve"> na</w:t>
      </w:r>
      <w:r w:rsidR="00422826">
        <w:rPr>
          <w:rFonts w:cs="Arial"/>
          <w:sz w:val="20"/>
        </w:rPr>
        <w:t xml:space="preserve"> o</w:t>
      </w:r>
      <w:r w:rsidR="00715DF2" w:rsidRPr="00715DF2">
        <w:rPr>
          <w:rFonts w:cs="Arial"/>
          <w:sz w:val="20"/>
        </w:rPr>
        <w:t>kraj</w:t>
      </w:r>
      <w:r w:rsidR="007F544F">
        <w:rPr>
          <w:rFonts w:cs="Arial"/>
          <w:sz w:val="20"/>
        </w:rPr>
        <w:t>i</w:t>
      </w:r>
      <w:r w:rsidR="00715DF2" w:rsidRPr="00715DF2">
        <w:rPr>
          <w:rFonts w:cs="Arial"/>
          <w:sz w:val="20"/>
        </w:rPr>
        <w:t xml:space="preserve"> města</w:t>
      </w:r>
      <w:r w:rsidR="00422826">
        <w:rPr>
          <w:rFonts w:cs="Arial"/>
          <w:sz w:val="20"/>
        </w:rPr>
        <w:t xml:space="preserve">, dopravní dostupnosti </w:t>
      </w:r>
      <w:r w:rsidR="00715DF2" w:rsidRPr="00715DF2">
        <w:rPr>
          <w:rFonts w:cs="Arial"/>
          <w:sz w:val="20"/>
        </w:rPr>
        <w:t>apod. Pro cenu nemovitosti je rovněž rozhodující právě i její lokalita.</w:t>
      </w:r>
    </w:p>
    <w:p w14:paraId="3A737E31" w14:textId="2E8F6E35" w:rsidR="007033F2" w:rsidRDefault="007033F2" w:rsidP="006526DB">
      <w:pPr>
        <w:spacing w:line="276" w:lineRule="auto"/>
        <w:contextualSpacing/>
        <w:rPr>
          <w:rFonts w:cs="Arial"/>
          <w:sz w:val="20"/>
        </w:rPr>
      </w:pPr>
    </w:p>
    <w:p w14:paraId="3BF67C0F" w14:textId="37B934D4" w:rsidR="00415B21" w:rsidRPr="00415B21" w:rsidRDefault="00415B21" w:rsidP="00032023">
      <w:pPr>
        <w:spacing w:after="120" w:line="276" w:lineRule="auto"/>
        <w:rPr>
          <w:rFonts w:cs="Arial"/>
          <w:b/>
          <w:bCs/>
          <w:color w:val="007E79"/>
          <w:sz w:val="20"/>
        </w:rPr>
      </w:pPr>
      <w:r>
        <w:rPr>
          <w:rFonts w:cs="Arial"/>
          <w:b/>
          <w:bCs/>
          <w:color w:val="007E79"/>
          <w:sz w:val="20"/>
        </w:rPr>
        <w:t>Banky jsou podle Čechů přísné</w:t>
      </w:r>
      <w:r w:rsidR="004F1CA5">
        <w:rPr>
          <w:rFonts w:cs="Arial"/>
          <w:b/>
          <w:bCs/>
          <w:color w:val="007E79"/>
          <w:sz w:val="20"/>
        </w:rPr>
        <w:t>, našetřit si Češi musí přes půl milionu</w:t>
      </w:r>
    </w:p>
    <w:p w14:paraId="3EE95CA7" w14:textId="10675E60" w:rsidR="00415B21" w:rsidRDefault="007033F2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  <w:r>
        <w:rPr>
          <w:rFonts w:cs="Arial"/>
          <w:sz w:val="20"/>
          <w:szCs w:val="22"/>
        </w:rPr>
        <w:t xml:space="preserve">Při výběru hypotéky zkoumá každá banka </w:t>
      </w:r>
      <w:r w:rsidR="001155A8" w:rsidRPr="001155A8">
        <w:rPr>
          <w:rFonts w:cs="Arial"/>
          <w:sz w:val="20"/>
          <w:szCs w:val="22"/>
        </w:rPr>
        <w:t>úvěruschopnost žadatele (tedy schopnost splácet budoucí úvěr)</w:t>
      </w:r>
      <w:r>
        <w:rPr>
          <w:rFonts w:cs="Arial"/>
          <w:sz w:val="20"/>
          <w:szCs w:val="22"/>
        </w:rPr>
        <w:t xml:space="preserve">. </w:t>
      </w:r>
      <w:r w:rsidR="001155A8" w:rsidRPr="001155A8">
        <w:rPr>
          <w:rFonts w:cs="Arial"/>
          <w:sz w:val="20"/>
          <w:szCs w:val="22"/>
        </w:rPr>
        <w:t xml:space="preserve">Toto prověřování a posuzování bonity hodnotí na 70 % respondentů jako přísné, </w:t>
      </w:r>
      <w:r w:rsidR="001155A8" w:rsidRPr="001155A8">
        <w:rPr>
          <w:rFonts w:cs="Arial"/>
          <w:kern w:val="0"/>
          <w:sz w:val="20"/>
          <w:lang w:eastAsia="cs-CZ" w:bidi="ar-SA"/>
        </w:rPr>
        <w:t xml:space="preserve">ale správné. </w:t>
      </w:r>
    </w:p>
    <w:p w14:paraId="664B4B4C" w14:textId="40214D71" w:rsidR="00415B21" w:rsidRDefault="00415B21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6BB2F433" w14:textId="34E2B9FF" w:rsidR="00415B21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  <w:r w:rsidRPr="007033F2">
        <w:rPr>
          <w:rFonts w:cs="Arial"/>
          <w:noProof/>
          <w:sz w:val="20"/>
        </w:rPr>
        <w:drawing>
          <wp:anchor distT="0" distB="0" distL="114300" distR="114300" simplePos="0" relativeHeight="251695104" behindDoc="1" locked="0" layoutInCell="1" allowOverlap="1" wp14:anchorId="71CB229D" wp14:editId="787A6800">
            <wp:simplePos x="0" y="0"/>
            <wp:positionH relativeFrom="margin">
              <wp:posOffset>468630</wp:posOffset>
            </wp:positionH>
            <wp:positionV relativeFrom="paragraph">
              <wp:posOffset>7620</wp:posOffset>
            </wp:positionV>
            <wp:extent cx="5423535" cy="1647825"/>
            <wp:effectExtent l="0" t="0" r="5715" b="9525"/>
            <wp:wrapTight wrapText="bothSides">
              <wp:wrapPolygon edited="0">
                <wp:start x="0" y="0"/>
                <wp:lineTo x="0" y="21475"/>
                <wp:lineTo x="21547" y="21475"/>
                <wp:lineTo x="21547" y="0"/>
                <wp:lineTo x="0" y="0"/>
              </wp:wrapPolygon>
            </wp:wrapTight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45ECF42E-9C56-41E3-BC0E-B6E8E9BF27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1EC7A285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3E293408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0BAF96B7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283E378E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13C70259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433BA7AA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148BD061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0A98CB27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49628AB2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2A892F92" w14:textId="77777777" w:rsidR="004F1CA5" w:rsidRDefault="004F1CA5" w:rsidP="006526DB">
      <w:pPr>
        <w:pStyle w:val="Standard"/>
        <w:spacing w:line="276" w:lineRule="auto"/>
        <w:rPr>
          <w:rFonts w:cs="Arial"/>
          <w:kern w:val="0"/>
          <w:sz w:val="20"/>
          <w:lang w:eastAsia="cs-CZ" w:bidi="ar-SA"/>
        </w:rPr>
      </w:pPr>
    </w:p>
    <w:p w14:paraId="15C6ECB9" w14:textId="50F4FB92" w:rsidR="00415B21" w:rsidRDefault="00415B21" w:rsidP="001C12D0">
      <w:pPr>
        <w:pStyle w:val="Standard"/>
        <w:spacing w:line="276" w:lineRule="auto"/>
        <w:rPr>
          <w:rFonts w:cs="Arial"/>
          <w:b/>
          <w:color w:val="007E79"/>
          <w:sz w:val="20"/>
        </w:rPr>
      </w:pPr>
      <w:r>
        <w:rPr>
          <w:rFonts w:cs="Arial"/>
          <w:kern w:val="0"/>
          <w:sz w:val="20"/>
          <w:lang w:eastAsia="cs-CZ" w:bidi="ar-SA"/>
        </w:rPr>
        <w:t xml:space="preserve">Při zkoumání </w:t>
      </w:r>
      <w:r w:rsidR="004F1CA5">
        <w:rPr>
          <w:rFonts w:cs="Arial"/>
          <w:kern w:val="0"/>
          <w:sz w:val="20"/>
          <w:lang w:eastAsia="cs-CZ" w:bidi="ar-SA"/>
        </w:rPr>
        <w:t xml:space="preserve">úvěruschopnosti žadatelů se banky řídí mj. i doporučeními </w:t>
      </w:r>
      <w:r w:rsidR="00C545B3">
        <w:rPr>
          <w:rFonts w:cs="Arial"/>
          <w:kern w:val="0"/>
          <w:sz w:val="20"/>
          <w:lang w:eastAsia="cs-CZ" w:bidi="ar-SA"/>
        </w:rPr>
        <w:t>České národní banky (</w:t>
      </w:r>
      <w:r w:rsidR="004F1CA5">
        <w:rPr>
          <w:rFonts w:cs="Arial"/>
          <w:kern w:val="0"/>
          <w:sz w:val="20"/>
          <w:lang w:eastAsia="cs-CZ" w:bidi="ar-SA"/>
        </w:rPr>
        <w:t>ČNB</w:t>
      </w:r>
      <w:r w:rsidR="00C545B3">
        <w:rPr>
          <w:rFonts w:cs="Arial"/>
          <w:kern w:val="0"/>
          <w:sz w:val="20"/>
          <w:lang w:eastAsia="cs-CZ" w:bidi="ar-SA"/>
        </w:rPr>
        <w:t>)</w:t>
      </w:r>
      <w:r w:rsidR="004F1CA5">
        <w:rPr>
          <w:rFonts w:cs="Arial"/>
          <w:kern w:val="0"/>
          <w:sz w:val="20"/>
          <w:lang w:eastAsia="cs-CZ" w:bidi="ar-SA"/>
        </w:rPr>
        <w:t xml:space="preserve">. Ta je </w:t>
      </w:r>
      <w:r w:rsidR="001155A8" w:rsidRPr="00542484">
        <w:rPr>
          <w:rFonts w:cs="Arial"/>
          <w:sz w:val="20"/>
          <w:szCs w:val="22"/>
        </w:rPr>
        <w:t>v souvislosti s</w:t>
      </w:r>
      <w:r w:rsidR="001155A8" w:rsidRPr="00715DF2">
        <w:rPr>
          <w:rFonts w:cs="Arial"/>
          <w:sz w:val="20"/>
          <w:szCs w:val="22"/>
        </w:rPr>
        <w:t xml:space="preserve"> první vlnou </w:t>
      </w:r>
      <w:proofErr w:type="spellStart"/>
      <w:r w:rsidR="001155A8" w:rsidRPr="00715DF2">
        <w:rPr>
          <w:rFonts w:cs="Arial"/>
          <w:sz w:val="20"/>
          <w:szCs w:val="22"/>
        </w:rPr>
        <w:t>koronaviru</w:t>
      </w:r>
      <w:proofErr w:type="spellEnd"/>
      <w:r w:rsidR="001155A8" w:rsidRPr="00542484">
        <w:rPr>
          <w:rFonts w:cs="Arial"/>
          <w:sz w:val="20"/>
          <w:szCs w:val="22"/>
        </w:rPr>
        <w:t xml:space="preserve"> </w:t>
      </w:r>
      <w:r w:rsidR="001155A8" w:rsidRPr="00715DF2">
        <w:rPr>
          <w:rFonts w:cs="Arial"/>
          <w:sz w:val="20"/>
          <w:szCs w:val="22"/>
        </w:rPr>
        <w:t>upravila</w:t>
      </w:r>
      <w:r w:rsidR="004F1CA5">
        <w:rPr>
          <w:rFonts w:cs="Arial"/>
          <w:sz w:val="20"/>
          <w:szCs w:val="22"/>
        </w:rPr>
        <w:t xml:space="preserve"> – u</w:t>
      </w:r>
      <w:r w:rsidR="001155A8" w:rsidRPr="00542484">
        <w:rPr>
          <w:rFonts w:cs="Arial"/>
          <w:sz w:val="20"/>
          <w:szCs w:val="22"/>
        </w:rPr>
        <w:t>kazatel</w:t>
      </w:r>
      <w:r w:rsidR="001155A8" w:rsidRPr="00715DF2">
        <w:rPr>
          <w:rFonts w:cs="Arial"/>
          <w:sz w:val="20"/>
          <w:szCs w:val="22"/>
        </w:rPr>
        <w:t>é</w:t>
      </w:r>
      <w:r w:rsidR="001155A8" w:rsidRPr="00542484">
        <w:rPr>
          <w:rFonts w:cs="Arial"/>
          <w:sz w:val="20"/>
          <w:szCs w:val="22"/>
        </w:rPr>
        <w:t xml:space="preserve"> DTI</w:t>
      </w:r>
      <w:r w:rsidR="001155A8" w:rsidRPr="00715DF2">
        <w:rPr>
          <w:rFonts w:cs="Arial"/>
          <w:sz w:val="20"/>
          <w:szCs w:val="22"/>
        </w:rPr>
        <w:t xml:space="preserve"> a </w:t>
      </w:r>
      <w:r w:rsidR="001155A8" w:rsidRPr="00542484">
        <w:rPr>
          <w:rFonts w:cs="Arial"/>
          <w:sz w:val="20"/>
          <w:szCs w:val="22"/>
        </w:rPr>
        <w:t>DSTI pro tuto chvíli zcela zrušila</w:t>
      </w:r>
      <w:r w:rsidR="004F1CA5">
        <w:rPr>
          <w:rFonts w:cs="Arial"/>
          <w:sz w:val="20"/>
          <w:szCs w:val="22"/>
        </w:rPr>
        <w:t>, u</w:t>
      </w:r>
      <w:r w:rsidR="00D10AF8" w:rsidRPr="00542484">
        <w:rPr>
          <w:rFonts w:cs="Arial"/>
          <w:sz w:val="20"/>
          <w:szCs w:val="22"/>
        </w:rPr>
        <w:t xml:space="preserve">kazatel LTV </w:t>
      </w:r>
      <w:r w:rsidR="00D10AF8">
        <w:rPr>
          <w:rFonts w:cs="Arial"/>
          <w:sz w:val="20"/>
          <w:szCs w:val="22"/>
        </w:rPr>
        <w:t xml:space="preserve">pak </w:t>
      </w:r>
      <w:r w:rsidR="00D10AF8" w:rsidRPr="00542484">
        <w:rPr>
          <w:rFonts w:cs="Arial"/>
          <w:sz w:val="20"/>
          <w:szCs w:val="22"/>
        </w:rPr>
        <w:t>snížila z 20 % na 10 %</w:t>
      </w:r>
      <w:r w:rsidR="004F1CA5">
        <w:rPr>
          <w:rFonts w:cs="Arial"/>
          <w:sz w:val="20"/>
          <w:szCs w:val="22"/>
        </w:rPr>
        <w:t>.</w:t>
      </w:r>
      <w:r w:rsidR="001C12D0">
        <w:rPr>
          <w:rFonts w:cs="Arial"/>
          <w:sz w:val="20"/>
          <w:szCs w:val="22"/>
        </w:rPr>
        <w:t xml:space="preserve"> </w:t>
      </w:r>
      <w:r w:rsidR="004F1CA5" w:rsidRPr="001C12D0">
        <w:rPr>
          <w:rFonts w:cs="Arial"/>
          <w:sz w:val="20"/>
          <w:szCs w:val="22"/>
        </w:rPr>
        <w:t xml:space="preserve">Žadatelé tedy </w:t>
      </w:r>
      <w:r w:rsidR="001C12D0" w:rsidRPr="001C12D0">
        <w:rPr>
          <w:rFonts w:cs="Arial"/>
          <w:sz w:val="20"/>
          <w:szCs w:val="22"/>
        </w:rPr>
        <w:t xml:space="preserve">nyní </w:t>
      </w:r>
      <w:r w:rsidR="004F1CA5" w:rsidRPr="001C12D0">
        <w:rPr>
          <w:rFonts w:cs="Arial"/>
          <w:sz w:val="20"/>
          <w:szCs w:val="22"/>
        </w:rPr>
        <w:t>musí z vlastních zdrojů</w:t>
      </w:r>
      <w:r w:rsidR="001C12D0" w:rsidRPr="001C12D0">
        <w:rPr>
          <w:rFonts w:cs="Arial"/>
          <w:sz w:val="20"/>
          <w:szCs w:val="22"/>
        </w:rPr>
        <w:t xml:space="preserve"> pokrýt desetinu ceny </w:t>
      </w:r>
      <w:r w:rsidR="004F1CA5" w:rsidRPr="001C12D0">
        <w:rPr>
          <w:rFonts w:cs="Arial"/>
          <w:sz w:val="20"/>
          <w:szCs w:val="22"/>
        </w:rPr>
        <w:t>nemovitost</w:t>
      </w:r>
      <w:r w:rsidR="001C12D0" w:rsidRPr="001C12D0">
        <w:rPr>
          <w:rFonts w:cs="Arial"/>
          <w:sz w:val="20"/>
          <w:szCs w:val="22"/>
        </w:rPr>
        <w:t>i</w:t>
      </w:r>
      <w:r w:rsidR="004F1CA5" w:rsidRPr="001C12D0">
        <w:rPr>
          <w:rFonts w:cs="Arial"/>
          <w:sz w:val="20"/>
          <w:szCs w:val="22"/>
        </w:rPr>
        <w:t xml:space="preserve">. </w:t>
      </w:r>
      <w:r w:rsidR="001C12D0">
        <w:rPr>
          <w:rFonts w:cs="Arial"/>
          <w:sz w:val="20"/>
          <w:szCs w:val="22"/>
        </w:rPr>
        <w:t>„</w:t>
      </w:r>
      <w:r w:rsidR="00D10AF8" w:rsidRPr="00D10AF8">
        <w:rPr>
          <w:rFonts w:cs="Arial"/>
          <w:i/>
          <w:iCs/>
          <w:kern w:val="0"/>
          <w:sz w:val="20"/>
          <w:lang w:eastAsia="cs-CZ" w:bidi="ar-SA"/>
        </w:rPr>
        <w:t xml:space="preserve">V průzkumu, který probíhal </w:t>
      </w:r>
      <w:r w:rsidR="007033F2">
        <w:rPr>
          <w:rFonts w:cs="Arial"/>
          <w:i/>
          <w:iCs/>
          <w:kern w:val="0"/>
          <w:sz w:val="20"/>
          <w:lang w:eastAsia="cs-CZ" w:bidi="ar-SA"/>
        </w:rPr>
        <w:t xml:space="preserve">na jaře </w:t>
      </w:r>
      <w:r w:rsidR="00D10AF8" w:rsidRPr="00D10AF8">
        <w:rPr>
          <w:rFonts w:cs="Arial"/>
          <w:i/>
          <w:iCs/>
          <w:kern w:val="0"/>
          <w:sz w:val="20"/>
          <w:lang w:eastAsia="cs-CZ" w:bidi="ar-SA"/>
        </w:rPr>
        <w:t>po první vlně</w:t>
      </w:r>
      <w:r w:rsidR="007033F2">
        <w:rPr>
          <w:rFonts w:cs="Arial"/>
          <w:i/>
          <w:iCs/>
          <w:kern w:val="0"/>
          <w:sz w:val="20"/>
          <w:lang w:eastAsia="cs-CZ" w:bidi="ar-SA"/>
        </w:rPr>
        <w:t>,</w:t>
      </w:r>
      <w:r w:rsidR="00D10AF8" w:rsidRPr="00D10AF8">
        <w:rPr>
          <w:rFonts w:cs="Arial"/>
          <w:i/>
          <w:iCs/>
          <w:kern w:val="0"/>
          <w:sz w:val="20"/>
          <w:lang w:eastAsia="cs-CZ" w:bidi="ar-SA"/>
        </w:rPr>
        <w:t xml:space="preserve"> č</w:t>
      </w:r>
      <w:r w:rsidR="00542484" w:rsidRPr="00D10AF8">
        <w:rPr>
          <w:rFonts w:cs="Arial"/>
          <w:i/>
          <w:iCs/>
          <w:kern w:val="0"/>
          <w:sz w:val="20"/>
          <w:lang w:eastAsia="cs-CZ" w:bidi="ar-SA"/>
        </w:rPr>
        <w:t>tvrtina respondentů deklar</w:t>
      </w:r>
      <w:r w:rsidR="001C12D0">
        <w:rPr>
          <w:rFonts w:cs="Arial"/>
          <w:i/>
          <w:iCs/>
          <w:kern w:val="0"/>
          <w:sz w:val="20"/>
          <w:lang w:eastAsia="cs-CZ" w:bidi="ar-SA"/>
        </w:rPr>
        <w:t>ovala</w:t>
      </w:r>
      <w:r w:rsidR="00542484" w:rsidRPr="00D10AF8">
        <w:rPr>
          <w:rFonts w:cs="Arial"/>
          <w:i/>
          <w:iCs/>
          <w:kern w:val="0"/>
          <w:sz w:val="20"/>
          <w:lang w:eastAsia="cs-CZ" w:bidi="ar-SA"/>
        </w:rPr>
        <w:t>, že před podáním žádosti o hypotéku si nejprve musela našetřit více než půl milionu korun</w:t>
      </w:r>
      <w:r w:rsidR="00D10AF8" w:rsidRPr="00D10AF8">
        <w:rPr>
          <w:rFonts w:cs="Arial"/>
          <w:i/>
          <w:iCs/>
          <w:kern w:val="0"/>
          <w:sz w:val="20"/>
          <w:lang w:eastAsia="cs-CZ" w:bidi="ar-SA"/>
        </w:rPr>
        <w:t>,“</w:t>
      </w:r>
      <w:r w:rsidR="00D10AF8">
        <w:rPr>
          <w:rFonts w:cs="Arial"/>
          <w:kern w:val="0"/>
          <w:sz w:val="20"/>
          <w:lang w:eastAsia="cs-CZ" w:bidi="ar-SA"/>
        </w:rPr>
        <w:t xml:space="preserve"> komentuje Jana Hamanová</w:t>
      </w:r>
      <w:r w:rsidR="007033F2">
        <w:rPr>
          <w:rFonts w:cs="Arial"/>
          <w:kern w:val="0"/>
          <w:sz w:val="20"/>
          <w:lang w:eastAsia="cs-CZ" w:bidi="ar-SA"/>
        </w:rPr>
        <w:t xml:space="preserve"> a doplňuje, že h</w:t>
      </w:r>
      <w:r w:rsidR="00542484" w:rsidRPr="00715DF2">
        <w:rPr>
          <w:rFonts w:cs="Arial"/>
          <w:kern w:val="0"/>
          <w:sz w:val="20"/>
          <w:lang w:eastAsia="cs-CZ" w:bidi="ar-SA"/>
        </w:rPr>
        <w:t>lavním zdrojem těchto peněz jsou v naprosté většině vlastní úspory (75 %). V závěsu jsou úspory ze stavebního spoření (40 %) a půjčka v rámci rodiny (18 %).</w:t>
      </w:r>
      <w:r w:rsidR="00F56EFA">
        <w:rPr>
          <w:rFonts w:cs="Arial"/>
          <w:kern w:val="0"/>
          <w:sz w:val="20"/>
          <w:lang w:eastAsia="cs-CZ" w:bidi="ar-SA"/>
        </w:rPr>
        <w:t xml:space="preserve"> </w:t>
      </w:r>
    </w:p>
    <w:p w14:paraId="455FC6CB" w14:textId="51EB47D4" w:rsidR="00962E68" w:rsidRDefault="001062AE" w:rsidP="006526DB">
      <w:pPr>
        <w:spacing w:after="120" w:line="276" w:lineRule="auto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lastRenderedPageBreak/>
        <w:t>První vlna pandemie na bydlení Čechů téměř nedopadla</w:t>
      </w:r>
      <w:r w:rsidR="00032023">
        <w:rPr>
          <w:rFonts w:cs="Arial"/>
          <w:b/>
          <w:color w:val="007E79"/>
          <w:sz w:val="20"/>
        </w:rPr>
        <w:t>, nyní chtějí banky klientům pomáhat individuálně</w:t>
      </w:r>
    </w:p>
    <w:p w14:paraId="39D62532" w14:textId="78DBAA54" w:rsidR="00954650" w:rsidRDefault="00954650" w:rsidP="001C12D0">
      <w:pPr>
        <w:spacing w:line="276" w:lineRule="auto"/>
        <w:rPr>
          <w:rFonts w:cs="Arial"/>
          <w:sz w:val="20"/>
          <w:szCs w:val="18"/>
        </w:rPr>
      </w:pPr>
      <w:r w:rsidRPr="001869C9">
        <w:rPr>
          <w:rFonts w:cs="Arial"/>
          <w:sz w:val="20"/>
          <w:szCs w:val="18"/>
        </w:rPr>
        <w:t xml:space="preserve">Téměř 90 % respondentů </w:t>
      </w:r>
      <w:r w:rsidR="001C12D0">
        <w:rPr>
          <w:rFonts w:cs="Arial"/>
          <w:sz w:val="20"/>
          <w:szCs w:val="18"/>
        </w:rPr>
        <w:t xml:space="preserve">v červnu </w:t>
      </w:r>
      <w:r w:rsidRPr="001869C9">
        <w:rPr>
          <w:rFonts w:cs="Arial"/>
          <w:sz w:val="20"/>
          <w:szCs w:val="18"/>
        </w:rPr>
        <w:t>deklar</w:t>
      </w:r>
      <w:r w:rsidR="001C12D0">
        <w:rPr>
          <w:rFonts w:cs="Arial"/>
          <w:sz w:val="20"/>
          <w:szCs w:val="18"/>
        </w:rPr>
        <w:t>oval</w:t>
      </w:r>
      <w:r w:rsidR="00371442">
        <w:rPr>
          <w:rFonts w:cs="Arial"/>
          <w:sz w:val="20"/>
          <w:szCs w:val="18"/>
        </w:rPr>
        <w:t>o</w:t>
      </w:r>
      <w:r w:rsidRPr="001869C9">
        <w:rPr>
          <w:rFonts w:cs="Arial"/>
          <w:sz w:val="20"/>
          <w:szCs w:val="18"/>
        </w:rPr>
        <w:t>, že pandemická situace jejich bydlení nijak neovlivnila</w:t>
      </w:r>
      <w:r w:rsidR="00B103E5">
        <w:rPr>
          <w:rFonts w:cs="Arial"/>
          <w:sz w:val="20"/>
          <w:szCs w:val="18"/>
        </w:rPr>
        <w:t xml:space="preserve">. Nedostatek příjmů na pokrytí výdajů s bydlením přiznalo </w:t>
      </w:r>
      <w:r w:rsidR="00032023">
        <w:rPr>
          <w:rFonts w:cs="Arial"/>
          <w:sz w:val="20"/>
          <w:szCs w:val="18"/>
        </w:rPr>
        <w:t>šest procent Čechů</w:t>
      </w:r>
      <w:r w:rsidR="001C12D0">
        <w:rPr>
          <w:rFonts w:cs="Arial"/>
          <w:sz w:val="20"/>
          <w:szCs w:val="18"/>
        </w:rPr>
        <w:t>.</w:t>
      </w:r>
      <w:r w:rsidR="00B103E5">
        <w:rPr>
          <w:rFonts w:cs="Arial"/>
          <w:sz w:val="20"/>
          <w:szCs w:val="18"/>
        </w:rPr>
        <w:t xml:space="preserve"> </w:t>
      </w:r>
      <w:r w:rsidR="00032023" w:rsidRPr="00032023">
        <w:rPr>
          <w:rFonts w:cs="Arial"/>
          <w:sz w:val="20"/>
          <w:szCs w:val="18"/>
        </w:rPr>
        <w:t xml:space="preserve">Banky </w:t>
      </w:r>
      <w:r w:rsidR="00B103E5">
        <w:rPr>
          <w:rFonts w:cs="Arial"/>
          <w:sz w:val="20"/>
          <w:szCs w:val="18"/>
        </w:rPr>
        <w:t>očekávají zhoršení finanční situace některých jejich klientů s hypotékami</w:t>
      </w:r>
      <w:r w:rsidR="00B103E5" w:rsidRPr="00032023">
        <w:rPr>
          <w:rFonts w:cs="Arial"/>
          <w:sz w:val="20"/>
          <w:szCs w:val="18"/>
        </w:rPr>
        <w:t xml:space="preserve"> </w:t>
      </w:r>
      <w:r w:rsidR="00B103E5">
        <w:rPr>
          <w:rFonts w:cs="Arial"/>
          <w:sz w:val="20"/>
          <w:szCs w:val="18"/>
        </w:rPr>
        <w:t xml:space="preserve">i nyní, </w:t>
      </w:r>
      <w:r w:rsidR="00032023" w:rsidRPr="00032023">
        <w:rPr>
          <w:rFonts w:cs="Arial"/>
          <w:sz w:val="20"/>
          <w:szCs w:val="18"/>
        </w:rPr>
        <w:t>v</w:t>
      </w:r>
      <w:r w:rsidR="00FC0070">
        <w:rPr>
          <w:rFonts w:cs="Arial"/>
          <w:sz w:val="20"/>
          <w:szCs w:val="18"/>
        </w:rPr>
        <w:t xml:space="preserve"> důsledku</w:t>
      </w:r>
      <w:r w:rsidR="001C12D0">
        <w:rPr>
          <w:rFonts w:cs="Arial"/>
          <w:sz w:val="20"/>
          <w:szCs w:val="18"/>
        </w:rPr>
        <w:t xml:space="preserve"> </w:t>
      </w:r>
      <w:r w:rsidR="00FC0070">
        <w:rPr>
          <w:rFonts w:cs="Arial"/>
          <w:sz w:val="20"/>
          <w:szCs w:val="18"/>
        </w:rPr>
        <w:t>druhé vlny</w:t>
      </w:r>
      <w:r w:rsidR="00B103E5">
        <w:rPr>
          <w:rFonts w:cs="Arial"/>
          <w:sz w:val="20"/>
          <w:szCs w:val="18"/>
        </w:rPr>
        <w:t xml:space="preserve"> pandemie</w:t>
      </w:r>
      <w:r w:rsidR="00FC0070">
        <w:rPr>
          <w:rFonts w:cs="Arial"/>
          <w:sz w:val="20"/>
          <w:szCs w:val="18"/>
        </w:rPr>
        <w:t xml:space="preserve"> a </w:t>
      </w:r>
      <w:r w:rsidR="001C12D0">
        <w:rPr>
          <w:rFonts w:cs="Arial"/>
          <w:sz w:val="20"/>
          <w:szCs w:val="18"/>
        </w:rPr>
        <w:t>související</w:t>
      </w:r>
      <w:r w:rsidR="00FC0070">
        <w:rPr>
          <w:rFonts w:cs="Arial"/>
          <w:sz w:val="20"/>
          <w:szCs w:val="18"/>
        </w:rPr>
        <w:t>ch</w:t>
      </w:r>
      <w:r w:rsidR="001C12D0">
        <w:rPr>
          <w:rFonts w:cs="Arial"/>
          <w:sz w:val="20"/>
          <w:szCs w:val="18"/>
        </w:rPr>
        <w:t xml:space="preserve"> vládní</w:t>
      </w:r>
      <w:r w:rsidR="00FC0070">
        <w:rPr>
          <w:rFonts w:cs="Arial"/>
          <w:sz w:val="20"/>
          <w:szCs w:val="18"/>
        </w:rPr>
        <w:t>ch</w:t>
      </w:r>
      <w:r w:rsidR="001C12D0">
        <w:rPr>
          <w:rFonts w:cs="Arial"/>
          <w:sz w:val="20"/>
          <w:szCs w:val="18"/>
        </w:rPr>
        <w:t xml:space="preserve"> </w:t>
      </w:r>
      <w:proofErr w:type="spellStart"/>
      <w:r w:rsidR="00FC0070">
        <w:rPr>
          <w:rFonts w:cs="Arial"/>
          <w:sz w:val="20"/>
          <w:szCs w:val="18"/>
        </w:rPr>
        <w:t>protiepidemiologických</w:t>
      </w:r>
      <w:proofErr w:type="spellEnd"/>
      <w:r w:rsidR="00FC0070">
        <w:rPr>
          <w:rFonts w:cs="Arial"/>
          <w:sz w:val="20"/>
          <w:szCs w:val="18"/>
        </w:rPr>
        <w:t xml:space="preserve"> </w:t>
      </w:r>
      <w:r w:rsidR="001C12D0">
        <w:rPr>
          <w:rFonts w:cs="Arial"/>
          <w:sz w:val="20"/>
          <w:szCs w:val="18"/>
        </w:rPr>
        <w:t>opatření</w:t>
      </w:r>
      <w:r w:rsidR="00B103E5">
        <w:rPr>
          <w:rFonts w:cs="Arial"/>
          <w:sz w:val="20"/>
          <w:szCs w:val="18"/>
        </w:rPr>
        <w:t>. J</w:t>
      </w:r>
      <w:r w:rsidR="00FC0070">
        <w:rPr>
          <w:rFonts w:cs="Arial"/>
          <w:sz w:val="20"/>
          <w:szCs w:val="18"/>
        </w:rPr>
        <w:t>sou připraveny</w:t>
      </w:r>
      <w:r w:rsidR="00B103E5">
        <w:rPr>
          <w:rFonts w:cs="Arial"/>
          <w:sz w:val="20"/>
          <w:szCs w:val="18"/>
        </w:rPr>
        <w:t xml:space="preserve"> s klienty jejich</w:t>
      </w:r>
      <w:r w:rsidR="00FC0070">
        <w:rPr>
          <w:rFonts w:cs="Arial"/>
          <w:sz w:val="20"/>
          <w:szCs w:val="18"/>
        </w:rPr>
        <w:t xml:space="preserve"> </w:t>
      </w:r>
      <w:r w:rsidR="00BF0EE0">
        <w:rPr>
          <w:rFonts w:cs="Arial"/>
          <w:sz w:val="20"/>
          <w:szCs w:val="18"/>
        </w:rPr>
        <w:t xml:space="preserve">případné potíže </w:t>
      </w:r>
      <w:r w:rsidR="00B103E5">
        <w:rPr>
          <w:rFonts w:cs="Arial"/>
          <w:sz w:val="20"/>
          <w:szCs w:val="18"/>
        </w:rPr>
        <w:t xml:space="preserve">se splácením </w:t>
      </w:r>
      <w:r w:rsidR="00BF0EE0">
        <w:rPr>
          <w:rFonts w:cs="Arial"/>
          <w:sz w:val="20"/>
          <w:szCs w:val="18"/>
        </w:rPr>
        <w:t xml:space="preserve">řešit, a to vzhledem ke končícímu </w:t>
      </w:r>
      <w:r w:rsidR="00B103E5">
        <w:rPr>
          <w:rFonts w:cs="Arial"/>
          <w:sz w:val="20"/>
          <w:szCs w:val="18"/>
        </w:rPr>
        <w:t xml:space="preserve">zákonnému </w:t>
      </w:r>
      <w:r w:rsidR="00BF0EE0">
        <w:rPr>
          <w:rFonts w:cs="Arial"/>
          <w:sz w:val="20"/>
          <w:szCs w:val="18"/>
        </w:rPr>
        <w:t>moratoriu</w:t>
      </w:r>
      <w:r w:rsidR="00C545B3">
        <w:rPr>
          <w:rFonts w:cs="Arial"/>
          <w:sz w:val="20"/>
          <w:szCs w:val="18"/>
        </w:rPr>
        <w:t>,</w:t>
      </w:r>
      <w:r w:rsidR="00BF0EE0">
        <w:rPr>
          <w:rFonts w:cs="Arial"/>
          <w:sz w:val="20"/>
          <w:szCs w:val="18"/>
        </w:rPr>
        <w:t xml:space="preserve"> individuální cestou</w:t>
      </w:r>
      <w:r w:rsidR="00B103E5">
        <w:rPr>
          <w:rFonts w:cs="Arial"/>
          <w:sz w:val="20"/>
          <w:szCs w:val="18"/>
        </w:rPr>
        <w:t>. Tu</w:t>
      </w:r>
      <w:r w:rsidR="00BF0EE0">
        <w:rPr>
          <w:rFonts w:cs="Arial"/>
          <w:sz w:val="20"/>
          <w:szCs w:val="18"/>
        </w:rPr>
        <w:t xml:space="preserve"> současně považují za efektivnější než plošné úlevy.</w:t>
      </w:r>
    </w:p>
    <w:p w14:paraId="550A232A" w14:textId="77777777" w:rsidR="001C12D0" w:rsidRDefault="001C12D0" w:rsidP="001C12D0">
      <w:pPr>
        <w:spacing w:line="276" w:lineRule="auto"/>
        <w:rPr>
          <w:rFonts w:cs="Arial"/>
          <w:sz w:val="20"/>
          <w:szCs w:val="18"/>
        </w:rPr>
      </w:pPr>
    </w:p>
    <w:p w14:paraId="652B7474" w14:textId="4F1F64A0" w:rsidR="00BF0EE0" w:rsidRDefault="00BF0EE0" w:rsidP="00BF0EE0">
      <w:pPr>
        <w:spacing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„</w:t>
      </w:r>
      <w:r w:rsidRPr="00D114FF">
        <w:rPr>
          <w:rFonts w:cs="Arial"/>
          <w:i/>
          <w:iCs/>
          <w:sz w:val="20"/>
          <w:szCs w:val="18"/>
        </w:rPr>
        <w:t>Asociace jakožto i banky jsou toho názoru, že individuální posouzení jednotlivých žádostí je vhodnější a pro obě strany užitečnější než plošný odklad. Při plošném odkladu dochází k tomu, že banka nezkoumá situaci svého klienta. Plošný odklad je tím pádem netransparentní pro obě strany. Banka nemůže přizpůsobit řešení skutečným potřebám daného klienta a posoudit, zda odklad není zbytečný. Klient zase přichází o odborné poradenství, jak by se měl v dané situaci zachovat</w:t>
      </w:r>
      <w:r>
        <w:rPr>
          <w:rFonts w:cs="Arial"/>
          <w:sz w:val="20"/>
          <w:szCs w:val="18"/>
        </w:rPr>
        <w:t>,“ vysvětluje Vladimír Staňura.</w:t>
      </w:r>
      <w:r w:rsidRPr="00FC3199">
        <w:rPr>
          <w:rFonts w:cs="Arial"/>
          <w:sz w:val="20"/>
          <w:szCs w:val="18"/>
        </w:rPr>
        <w:t xml:space="preserve"> </w:t>
      </w:r>
    </w:p>
    <w:p w14:paraId="026429D7" w14:textId="77777777" w:rsidR="00BF0EE0" w:rsidRDefault="00BF0EE0" w:rsidP="00BF0EE0">
      <w:pPr>
        <w:spacing w:line="276" w:lineRule="auto"/>
        <w:rPr>
          <w:rFonts w:cs="Arial"/>
          <w:sz w:val="20"/>
          <w:szCs w:val="18"/>
        </w:rPr>
      </w:pPr>
    </w:p>
    <w:p w14:paraId="4F2E4034" w14:textId="4591D683" w:rsidR="00FC3199" w:rsidRPr="00FC3199" w:rsidRDefault="00BF0EE0" w:rsidP="006526DB">
      <w:pPr>
        <w:spacing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Že je v případě problémů se splácením vhodnější individuální domluva s bankou si p</w:t>
      </w:r>
      <w:r w:rsidR="00D114FF">
        <w:rPr>
          <w:rFonts w:cs="Arial"/>
          <w:sz w:val="20"/>
          <w:szCs w:val="18"/>
        </w:rPr>
        <w:t xml:space="preserve">odle </w:t>
      </w:r>
      <w:r w:rsidR="00D114FF" w:rsidRPr="00D114FF">
        <w:rPr>
          <w:rFonts w:cs="Arial"/>
          <w:sz w:val="20"/>
          <w:szCs w:val="18"/>
        </w:rPr>
        <w:t>říjnového</w:t>
      </w:r>
      <w:r w:rsidR="00D114FF">
        <w:rPr>
          <w:rFonts w:cs="Arial"/>
          <w:sz w:val="20"/>
          <w:szCs w:val="18"/>
        </w:rPr>
        <w:t xml:space="preserve"> průzkumu asociace </w:t>
      </w:r>
      <w:r>
        <w:rPr>
          <w:rFonts w:cs="Arial"/>
          <w:sz w:val="20"/>
          <w:szCs w:val="18"/>
        </w:rPr>
        <w:t>myslí i</w:t>
      </w:r>
      <w:r w:rsidR="007033F2">
        <w:rPr>
          <w:rFonts w:cs="Arial"/>
          <w:sz w:val="20"/>
          <w:szCs w:val="18"/>
        </w:rPr>
        <w:t xml:space="preserve"> více než pětina</w:t>
      </w:r>
      <w:r w:rsidR="00D114FF" w:rsidRPr="00AC4352">
        <w:rPr>
          <w:rFonts w:cs="Arial"/>
          <w:sz w:val="20"/>
          <w:szCs w:val="18"/>
        </w:rPr>
        <w:t xml:space="preserve"> Čechů</w:t>
      </w:r>
      <w:r>
        <w:rPr>
          <w:rFonts w:cs="Arial"/>
          <w:sz w:val="20"/>
          <w:szCs w:val="18"/>
        </w:rPr>
        <w:t>.</w:t>
      </w:r>
      <w:r w:rsidR="001062AE">
        <w:rPr>
          <w:rFonts w:cs="Arial"/>
          <w:sz w:val="20"/>
          <w:szCs w:val="18"/>
        </w:rPr>
        <w:t xml:space="preserve"> Patří do dvou třetin Čechů, kteří </w:t>
      </w:r>
      <w:r w:rsidR="007F544F">
        <w:rPr>
          <w:rFonts w:cs="Arial"/>
          <w:sz w:val="20"/>
          <w:szCs w:val="18"/>
        </w:rPr>
        <w:t>jsou toho názoru</w:t>
      </w:r>
      <w:r w:rsidR="001062AE">
        <w:rPr>
          <w:rFonts w:cs="Arial"/>
          <w:sz w:val="20"/>
          <w:szCs w:val="18"/>
        </w:rPr>
        <w:t>, že by</w:t>
      </w:r>
      <w:r w:rsidR="001062AE" w:rsidRPr="00AC4352">
        <w:rPr>
          <w:rFonts w:cs="Arial"/>
          <w:sz w:val="20"/>
          <w:szCs w:val="18"/>
        </w:rPr>
        <w:t xml:space="preserve"> plošná možnost odkladu neměla být </w:t>
      </w:r>
      <w:r w:rsidR="001062AE">
        <w:rPr>
          <w:rFonts w:cs="Arial"/>
          <w:sz w:val="20"/>
          <w:szCs w:val="18"/>
        </w:rPr>
        <w:t xml:space="preserve">prodlužována. </w:t>
      </w:r>
      <w:r>
        <w:rPr>
          <w:rFonts w:cs="Arial"/>
          <w:sz w:val="20"/>
          <w:szCs w:val="18"/>
        </w:rPr>
        <w:t>Plošný odklad</w:t>
      </w:r>
      <w:r w:rsidR="007033F2">
        <w:rPr>
          <w:rFonts w:cs="Arial"/>
          <w:sz w:val="20"/>
          <w:szCs w:val="18"/>
        </w:rPr>
        <w:t xml:space="preserve"> by uvítala pouze třetina, zejména mladých, respondentů.</w:t>
      </w:r>
      <w:r w:rsidR="003E27A8">
        <w:rPr>
          <w:rFonts w:cs="Arial"/>
          <w:sz w:val="20"/>
          <w:szCs w:val="18"/>
        </w:rPr>
        <w:t xml:space="preserve"> </w:t>
      </w:r>
    </w:p>
    <w:p w14:paraId="4FAA59F2" w14:textId="3CEC532A" w:rsidR="00962E68" w:rsidRDefault="00962E68" w:rsidP="006526DB">
      <w:pPr>
        <w:spacing w:line="276" w:lineRule="auto"/>
        <w:rPr>
          <w:rFonts w:cs="Arial"/>
          <w:sz w:val="20"/>
          <w:szCs w:val="18"/>
        </w:rPr>
      </w:pPr>
    </w:p>
    <w:p w14:paraId="4898D5C7" w14:textId="7D8DADA4" w:rsidR="00962E68" w:rsidRDefault="003E27A8" w:rsidP="006526DB">
      <w:pPr>
        <w:spacing w:line="276" w:lineRule="auto"/>
        <w:rPr>
          <w:rFonts w:cs="Arial"/>
          <w:sz w:val="20"/>
          <w:szCs w:val="18"/>
        </w:rPr>
      </w:pPr>
      <w:r w:rsidRPr="00662C23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C86D2" wp14:editId="0529F569">
                <wp:simplePos x="0" y="0"/>
                <wp:positionH relativeFrom="margin">
                  <wp:posOffset>1307464</wp:posOffset>
                </wp:positionH>
                <wp:positionV relativeFrom="paragraph">
                  <wp:posOffset>67310</wp:posOffset>
                </wp:positionV>
                <wp:extent cx="4257675" cy="514350"/>
                <wp:effectExtent l="0" t="0" r="0" b="0"/>
                <wp:wrapNone/>
                <wp:docPr id="10" name="Zástupný symbol pro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62135" w14:textId="6B02245F" w:rsidR="003E27A8" w:rsidRPr="003E27A8" w:rsidRDefault="003E27A8" w:rsidP="003E27A8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  <w:r w:rsidRPr="003E27A8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  <w:t>Myslíte si, že by možnost odkladu splátek měla být</w:t>
                            </w:r>
                            <w:r w:rsidR="001062AE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  <w:t xml:space="preserve"> plošně </w:t>
                            </w:r>
                            <w:r w:rsidRPr="003E27A8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  <w:t xml:space="preserve">prodloužena? </w:t>
                            </w:r>
                          </w:p>
                          <w:p w14:paraId="28A4AB8C" w14:textId="77777777" w:rsidR="003E27A8" w:rsidRPr="003E27A8" w:rsidRDefault="003E27A8" w:rsidP="003E27A8">
                            <w:pPr>
                              <w:pStyle w:val="Odstavecseseznamem"/>
                              <w:rPr>
                                <w:rFonts w:asciiTheme="minorHAnsi" w:hAnsi="Calibri Light" w:cstheme="minorBidi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</w:p>
                          <w:p w14:paraId="5055E3AA" w14:textId="77777777" w:rsidR="003E27A8" w:rsidRPr="003E27A8" w:rsidRDefault="003E27A8" w:rsidP="003E27A8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86D2" id="Zástupný symbol pro text 4" o:spid="_x0000_s1027" type="#_x0000_t202" style="position:absolute;left:0;text-align:left;margin-left:102.95pt;margin-top:5.3pt;width:335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vl1wEAAIMDAAAOAAAAZHJzL2Uyb0RvYy54bWysU8GO0zAQvSPxD5bvNG1JtmzUdAWsQEgr&#10;QNrlws1x7CYi9hiP26T8DR+yp/0xxk63W+CGuEw0npk3781M1lej6dleeezAVnwxm3OmrISms9uK&#10;f7l79+IVZxiEbUQPVlX8oJBfbZ4/Ww+uVEtooW+UZwRisRxcxdsQXJllKFtlBM7AKUtBDd6IQK7f&#10;Zo0XA6GbPlvO5xfZAL5xHqRCpNfrKcg3CV9rJcMnrVEF1lecuIVkfbJ1tNlmLcqtF67t5JGG+AcW&#10;RnSWmp6grkUQbOe7v6BMJz0g6DCTYDLQupMqaSA1i/kfam5b4VTSQsNBdxoT/j9Y+XH/2bOuod3R&#10;eKwwtKOvDz8x7Jx9uGd4MDX0jAbMghoDy+PABocl1d06qgzjGxipOIlHdwPyG1JKdpYzFSBlxwGN&#10;2pv4JemMCqnp4bSH2EHSY74sVhergjNJsWKRvyzSorKnaucxvFdgiBnSTj3tOTEQ+xsMsb8oH1OO&#10;ZKb+kVYY63FS/CimhuZAWuiMCasF/4OzgU6i4vh9J7zirP9gaeaXizyPN5ScvFgtyfHnkfq3SOjf&#10;wnR1wkpCrbgMPrG08HoXQHeJaaQ0ETgypU0nAcerjKd07qesp39n8wsAAP//AwBQSwMEFAAGAAgA&#10;AAAhABJ/1rvfAAAACQEAAA8AAABkcnMvZG93bnJldi54bWxMj0FOwzAQRfdI3MEaJDaI2q0gbdM4&#10;FUKqhCpYUHqASezGUeNxFLtpuD3DCpaj//T/m2I7+U6MdohtIA3zmQJhqQ6mpUbD8Wv3uAIRE5LB&#10;LpDV8G0jbMvbmwJzE670acdDagSXUMxRg0upz6WMtbMe4yz0ljg7hcFj4nNopBnwyuW+kwulMumx&#10;JV5w2NtXZ+vz4eI1PLhefbyf3qqdyWp33kdc+nGv9f3d9LIBkeyU/mD41Wd1KNmpChcyUXQaFup5&#10;zSgHKgPBwGqZPYGoNKznGciykP8/KH8AAAD//wMAUEsBAi0AFAAGAAgAAAAhALaDOJL+AAAA4QEA&#10;ABMAAAAAAAAAAAAAAAAAAAAAAFtDb250ZW50X1R5cGVzXS54bWxQSwECLQAUAAYACAAAACEAOP0h&#10;/9YAAACUAQAACwAAAAAAAAAAAAAAAAAvAQAAX3JlbHMvLnJlbHNQSwECLQAUAAYACAAAACEA/a+L&#10;5dcBAACDAwAADgAAAAAAAAAAAAAAAAAuAgAAZHJzL2Uyb0RvYy54bWxQSwECLQAUAAYACAAAACEA&#10;En/Wu98AAAAJAQAADwAAAAAAAAAAAAAAAAAxBAAAZHJzL2Rvd25yZXYueG1sUEsFBgAAAAAEAAQA&#10;8wAAAD0FAAAAAA==&#10;" filled="f" stroked="f">
                <v:textbox>
                  <w:txbxContent>
                    <w:p w14:paraId="25362135" w14:textId="6B02245F" w:rsidR="003E27A8" w:rsidRPr="003E27A8" w:rsidRDefault="003E27A8" w:rsidP="003E27A8">
                      <w:pPr>
                        <w:rPr>
                          <w:rFonts w:cs="Arial"/>
                          <w:b/>
                          <w:color w:val="000000" w:themeColor="text1"/>
                          <w:kern w:val="24"/>
                          <w:szCs w:val="18"/>
                        </w:rPr>
                      </w:pPr>
                      <w:r w:rsidRPr="003E27A8">
                        <w:rPr>
                          <w:rFonts w:cs="Arial"/>
                          <w:b/>
                          <w:color w:val="000000" w:themeColor="text1"/>
                          <w:kern w:val="24"/>
                          <w:szCs w:val="18"/>
                        </w:rPr>
                        <w:t>Myslíte si, že by možnost odkladu splátek měla být</w:t>
                      </w:r>
                      <w:r w:rsidR="001062AE">
                        <w:rPr>
                          <w:rFonts w:cs="Arial"/>
                          <w:b/>
                          <w:color w:val="000000" w:themeColor="text1"/>
                          <w:kern w:val="24"/>
                          <w:szCs w:val="18"/>
                        </w:rPr>
                        <w:t xml:space="preserve"> plošně </w:t>
                      </w:r>
                      <w:r w:rsidRPr="003E27A8">
                        <w:rPr>
                          <w:rFonts w:cs="Arial"/>
                          <w:b/>
                          <w:color w:val="000000" w:themeColor="text1"/>
                          <w:kern w:val="24"/>
                          <w:szCs w:val="18"/>
                        </w:rPr>
                        <w:t xml:space="preserve">prodloužena? </w:t>
                      </w:r>
                    </w:p>
                    <w:p w14:paraId="28A4AB8C" w14:textId="77777777" w:rsidR="003E27A8" w:rsidRPr="003E27A8" w:rsidRDefault="003E27A8" w:rsidP="003E27A8">
                      <w:pPr>
                        <w:pStyle w:val="Odstavecseseznamem"/>
                        <w:rPr>
                          <w:rFonts w:asciiTheme="minorHAnsi" w:hAnsi="Calibri Light" w:cstheme="minorBidi"/>
                          <w:b/>
                          <w:color w:val="000000" w:themeColor="text1"/>
                          <w:kern w:val="24"/>
                          <w:szCs w:val="18"/>
                        </w:rPr>
                      </w:pPr>
                    </w:p>
                    <w:p w14:paraId="5055E3AA" w14:textId="77777777" w:rsidR="003E27A8" w:rsidRPr="003E27A8" w:rsidRDefault="003E27A8" w:rsidP="003E27A8">
                      <w:pPr>
                        <w:rPr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4FF" w:rsidRPr="00D114FF">
        <w:rPr>
          <w:rFonts w:cs="Arial"/>
          <w:noProof/>
          <w:sz w:val="20"/>
          <w:szCs w:val="18"/>
        </w:rPr>
        <w:drawing>
          <wp:inline distT="0" distB="0" distL="0" distR="0" wp14:anchorId="0EC524BC" wp14:editId="4602AAAC">
            <wp:extent cx="6362700" cy="3095625"/>
            <wp:effectExtent l="0" t="0" r="0" b="952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6B51660-B069-49A6-880E-D9A35F914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1269D5" w14:textId="39DCA6C8" w:rsidR="00EE39B6" w:rsidRDefault="00EE39B6" w:rsidP="006526D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693C9EA" w14:textId="5EB6098D" w:rsidR="00BF0EE0" w:rsidRDefault="00BF0EE0" w:rsidP="00BF0EE0">
      <w:pPr>
        <w:spacing w:line="276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Banky k dnešnímu dni odložily splátky u téměř 360 tisíců úvěrů, z toho u 150 tisíců z nich samy ještě před přijetím zákona o moratoriu. Podle údajů bank se z celkového počtu odložených úvěrů na konci září klienti bezproblémově vrátili ke splácení u třetiny z nich. </w:t>
      </w:r>
    </w:p>
    <w:p w14:paraId="1A9D69F9" w14:textId="23F7233E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5B0FB453" w14:textId="0485B3D7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1850F0DC" w14:textId="7434F2C6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2E528161" w14:textId="67CD0499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3F364ADB" w14:textId="20E29544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2F852626" w14:textId="22154E7B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267093E2" w14:textId="47E61EB7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6235359C" w14:textId="2E56876D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48962DB3" w14:textId="44640258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4BBACD66" w14:textId="58669D51" w:rsidR="00FA17EF" w:rsidRDefault="00FA17EF" w:rsidP="00BF0EE0">
      <w:pPr>
        <w:spacing w:line="276" w:lineRule="auto"/>
        <w:rPr>
          <w:rFonts w:cs="Arial"/>
          <w:sz w:val="20"/>
          <w:szCs w:val="18"/>
        </w:rPr>
      </w:pPr>
    </w:p>
    <w:p w14:paraId="08B6B39A" w14:textId="6414C5E1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0BF825A7" w14:textId="77777777" w:rsidR="00032023" w:rsidRDefault="00032023" w:rsidP="00BF0EE0">
      <w:pPr>
        <w:spacing w:line="276" w:lineRule="auto"/>
        <w:rPr>
          <w:rFonts w:cs="Arial"/>
          <w:sz w:val="20"/>
          <w:szCs w:val="18"/>
        </w:rPr>
      </w:pPr>
    </w:p>
    <w:p w14:paraId="5CB2B676" w14:textId="567903C0" w:rsidR="00EE39B6" w:rsidRDefault="00BF0EE0" w:rsidP="006526D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9A58D" wp14:editId="2C62189C">
                <wp:simplePos x="0" y="0"/>
                <wp:positionH relativeFrom="margin">
                  <wp:posOffset>-46990</wp:posOffset>
                </wp:positionH>
                <wp:positionV relativeFrom="paragraph">
                  <wp:posOffset>176530</wp:posOffset>
                </wp:positionV>
                <wp:extent cx="6574790" cy="11525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D985E" w14:textId="77777777" w:rsidR="0065124E" w:rsidRPr="00962E68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222692"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průzkumu</w:t>
                            </w:r>
                          </w:p>
                          <w:p w14:paraId="6C03783A" w14:textId="773D2964" w:rsidR="00EF571C" w:rsidRPr="00821214" w:rsidRDefault="00EF571C" w:rsidP="00821214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Průzkum, </w:t>
                            </w:r>
                            <w:r w:rsid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ze kterého vychází tisková zpráva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se zaměřil na chování Čechů </w:t>
                            </w:r>
                            <w:r w:rsidR="00821214"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ve vztahu k</w:t>
                            </w:r>
                            <w:r w:rsid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821214"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hypotékám</w:t>
                            </w:r>
                            <w:r w:rsid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. R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ealizovala </w:t>
                            </w:r>
                            <w:r w:rsid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ho 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 Českou bankovní asociaci agentura SC&amp;C. Sběr dat probíhal </w:t>
                            </w:r>
                            <w:r w:rsidR="00821214"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od 22. května do 8. června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A51466"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 reprezentativním vzorku 10</w:t>
                            </w:r>
                            <w:r w:rsidR="00821214"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respondentů ve věku od 18-79 let.</w:t>
                            </w:r>
                          </w:p>
                          <w:p w14:paraId="3A8A5014" w14:textId="57F5D3BA" w:rsidR="00821214" w:rsidRPr="00821214" w:rsidRDefault="00821214" w:rsidP="00EF571C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Říjnový průzkum, na který se asociace odvolává, se zabýval otázkou odkladů splát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ek</w:t>
                            </w:r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. Sběr dat probíhal online přes internetový nástroj Instant </w:t>
                            </w:r>
                            <w:proofErr w:type="spellStart"/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>Research</w:t>
                            </w:r>
                            <w:proofErr w:type="spellEnd"/>
                            <w:r w:rsidRPr="0082121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 začátku října 2020 na reprezentativním vzorku 1040 respondentů ve věku od 18-65 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A58D" id="Obdélník 5" o:spid="_x0000_s1028" style="position:absolute;left:0;text-align:left;margin-left:-3.7pt;margin-top:13.9pt;width:517.7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FNtwIAANcFAAAOAAAAZHJzL2Uyb0RvYy54bWysVMFu2zAMvQ/YPwi6r7aDpe2MOkXQosOA&#10;rC3WDj0rshwblUVNUmJnf7TDvqI/NkqyvaYrdhgGA4Yoko/kE8mz876VZCeMbUAVNDtKKRGKQ9mo&#10;TUG/3l+9O6XEOqZKJkGJgu6FpeeLt2/OOp2LGdQgS2EIgiibd7qgtXM6TxLLa9EyewRaKFRWYFrm&#10;UDSbpDSsQ/RWJrM0PU46MKU2wIW1eHsZlXQR8KtKcHdTVVY4IguKubnwN+G/9v9kccbyjWG6bviQ&#10;BvuHLFrWKAw6QV0yx8jWNH9AtQ03YKFyRxzaBKqq4SLUgNVk6Ytq7mqmRagFybF6osn+P1h+vbs1&#10;pCkLOqdEsRaf6GZdPv2Q6unnI5l7fjptczS707fGV2j1CvijRUVyoPGCHWz6yrTeFusjfSB7P5Et&#10;ekc4Xh7PT96ffMA34ajLsvkMPx8uYfnoro11HwW0xB8KavA1A8lst7Iumo4mITOQTXnVSBkE30Hi&#10;QhqyY/j2600WXOW2/QxlvDuZp2noAAwZGs6bhwTscySpPJ4CjxyD+ptQfKw3VO72Ung7qb6ICgnF&#10;Cmch4oQcgzLOhXIxGVuzUsRrn8rruQRAj1xh/Al7ADgscsSOWQ723lWESZic078lFp0njxAZlJuc&#10;20aBeQ1AYlVD5Gg/khSp8Sy5ft2HZpuNjbWGco8NaCBOptX8qsHHXjHrbpnBUcQGwfXibvBXSegK&#10;CsOJkhrM99fuvT1OCGop6XC0C2q/bZkRlMhPCmcnS0892cQdSOZAWh9IatteAHZRhstM83BEf+Pk&#10;eKwMtA+4iZY+MqqY4hi/oG48Xri4dHCTcbFcBiPcAJq5lbrT3EN7pn073/cPzOih5x2OyzWMi4Dl&#10;L1o/2npPBcutg6oJc+G5jswOb4DbIzT2sOn8enouB6vf+3jxCwAA//8DAFBLAwQUAAYACAAAACEA&#10;YfCNfd0AAAAKAQAADwAAAGRycy9kb3ducmV2LnhtbEyPwU7DMBBE70j8g7VI3FqblNI0xKkQEhdO&#10;UCrEcZtsk4h4HWI3DX/P9kSPuzOaeZNvJtepkYbQerZwNzegiEtftVxb2H28zFJQISJX2HkmC78U&#10;YFNcX+WYVf7E7zRuY60khEOGFpoY+0zrUDbkMMx9TyzawQ8Oo5xDrasBTxLuOp0Y86AdtiwNDfb0&#10;3FD5vT066U3D20/C4+L1c4fLL9S9NnFp7e3N9PQIKtIU/81wxhd0KIRp749cBdVZmK3uxWkhWcmC&#10;s26SVMbt5WPWC9BFri8nFH8AAAD//wMAUEsBAi0AFAAGAAgAAAAhALaDOJL+AAAA4QEAABMAAAAA&#10;AAAAAAAAAAAAAAAAAFtDb250ZW50X1R5cGVzXS54bWxQSwECLQAUAAYACAAAACEAOP0h/9YAAACU&#10;AQAACwAAAAAAAAAAAAAAAAAvAQAAX3JlbHMvLnJlbHNQSwECLQAUAAYACAAAACEACYrRTbcCAADX&#10;BQAADgAAAAAAAAAAAAAAAAAuAgAAZHJzL2Uyb0RvYy54bWxQSwECLQAUAAYACAAAACEAYfCNfd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1A9D985E" w14:textId="77777777" w:rsidR="0065124E" w:rsidRPr="00962E68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222692"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průzkumu</w:t>
                      </w:r>
                    </w:p>
                    <w:p w14:paraId="6C03783A" w14:textId="773D2964" w:rsidR="00EF571C" w:rsidRPr="00821214" w:rsidRDefault="00EF571C" w:rsidP="00821214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Průzkum, </w:t>
                      </w:r>
                      <w:r w:rsidR="00821214">
                        <w:rPr>
                          <w:rFonts w:cs="Arial"/>
                          <w:sz w:val="16"/>
                          <w:szCs w:val="16"/>
                        </w:rPr>
                        <w:t>ze kterého vychází tisková zpráva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 se zaměřil na chování Čechů </w:t>
                      </w:r>
                      <w:r w:rsidR="00821214" w:rsidRPr="00821214">
                        <w:rPr>
                          <w:rFonts w:cs="Arial"/>
                          <w:sz w:val="16"/>
                          <w:szCs w:val="16"/>
                        </w:rPr>
                        <w:t>ve vztahu k</w:t>
                      </w:r>
                      <w:r w:rsidR="00821214">
                        <w:rPr>
                          <w:rFonts w:cs="Arial"/>
                          <w:sz w:val="16"/>
                          <w:szCs w:val="16"/>
                        </w:rPr>
                        <w:t> </w:t>
                      </w:r>
                      <w:r w:rsidR="00821214" w:rsidRPr="00821214">
                        <w:rPr>
                          <w:rFonts w:cs="Arial"/>
                          <w:sz w:val="16"/>
                          <w:szCs w:val="16"/>
                        </w:rPr>
                        <w:t>hypotékám</w:t>
                      </w:r>
                      <w:r w:rsidR="00821214">
                        <w:rPr>
                          <w:rFonts w:cs="Arial"/>
                          <w:sz w:val="16"/>
                          <w:szCs w:val="16"/>
                        </w:rPr>
                        <w:t>. R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ealizovala </w:t>
                      </w:r>
                      <w:r w:rsidR="00821214">
                        <w:rPr>
                          <w:rFonts w:cs="Arial"/>
                          <w:sz w:val="16"/>
                          <w:szCs w:val="16"/>
                        </w:rPr>
                        <w:t xml:space="preserve">ho 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pro Českou bankovní asociaci agentura SC&amp;C. Sběr dat probíhal </w:t>
                      </w:r>
                      <w:r w:rsidR="00821214" w:rsidRPr="00821214">
                        <w:rPr>
                          <w:rFonts w:cs="Arial"/>
                          <w:sz w:val="16"/>
                          <w:szCs w:val="16"/>
                        </w:rPr>
                        <w:t>od 22. května do 8. června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 20</w:t>
                      </w:r>
                      <w:r w:rsidR="00A51466" w:rsidRPr="00821214">
                        <w:rPr>
                          <w:rFonts w:cs="Arial"/>
                          <w:sz w:val="16"/>
                          <w:szCs w:val="16"/>
                        </w:rPr>
                        <w:t>20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 na reprezentativním vzorku 10</w:t>
                      </w:r>
                      <w:r w:rsidR="00821214" w:rsidRPr="00821214">
                        <w:rPr>
                          <w:rFonts w:cs="Arial"/>
                          <w:sz w:val="16"/>
                          <w:szCs w:val="16"/>
                        </w:rPr>
                        <w:t>10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 respondentů ve věku od 18-79 let.</w:t>
                      </w:r>
                    </w:p>
                    <w:p w14:paraId="3A8A5014" w14:textId="57F5D3BA" w:rsidR="00821214" w:rsidRPr="00821214" w:rsidRDefault="00821214" w:rsidP="00EF571C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>Říjnový průzkum, na který se asociace odvolává, se zabýval otázkou odkladů splát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ek</w:t>
                      </w:r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. Sběr dat probíhal online přes internetový nástroj Instant </w:t>
                      </w:r>
                      <w:proofErr w:type="spellStart"/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>Research</w:t>
                      </w:r>
                      <w:proofErr w:type="spellEnd"/>
                      <w:r w:rsidRPr="00821214">
                        <w:rPr>
                          <w:rFonts w:cs="Arial"/>
                          <w:sz w:val="16"/>
                          <w:szCs w:val="16"/>
                        </w:rPr>
                        <w:t xml:space="preserve"> na začátku října 2020 na reprezentativním vzorku 1040 respondentů ve věku od 18-65 let.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35122" w14:textId="5F0A7A60" w:rsidR="00EE39B6" w:rsidRDefault="00821214" w:rsidP="006526D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E10B8" wp14:editId="6D9217A9">
                <wp:simplePos x="0" y="0"/>
                <wp:positionH relativeFrom="margin">
                  <wp:posOffset>4328160</wp:posOffset>
                </wp:positionH>
                <wp:positionV relativeFrom="paragraph">
                  <wp:posOffset>1196975</wp:posOffset>
                </wp:positionV>
                <wp:extent cx="2198370" cy="1311302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302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7CA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95C1E87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3E0BFB55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B5C0FF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3B9DDAB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5C79934E" w14:textId="209EA3D4" w:rsidR="0065124E" w:rsidRPr="00962E68" w:rsidRDefault="00EF571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3F14FB4A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22F92B90" w14:textId="77777777" w:rsidR="0065124E" w:rsidRPr="00962E68" w:rsidRDefault="0065124E" w:rsidP="000440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10B8" id="Obdélník 200" o:spid="_x0000_s1029" style="position:absolute;left:0;text-align:left;margin-left:340.8pt;margin-top:94.25pt;width:173.1pt;height:1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U6GgIAABYEAAAOAAAAZHJzL2Uyb0RvYy54bWysU81u2zAMvg/YOwi6L7YToEmNOEWRrsOA&#10;bi3Q7QFkWf5BZVGjlNjZG+2wp+iLjZLTrNluwy6CSJEf+X2k1ldjr9leoevAFDybpZwpI6HqTFPw&#10;r19u3604c16YSmgwquAH5fjV5u2b9WBzNYcWdKWQEYhx+WAL3npv8yRxslW9cDOwytBjDdgLTyY2&#10;SYViIPReJ/M0vUgGwMoiSOUceW+mR76J+HWtpL+va6c80wWn3nw8MZ5lOJPNWuQNCtt28tiG+Icu&#10;etEZKnqCuhFesB12f0H1nURwUPuZhD6Buu6kihyITZb+weaxFVZFLiSOsyeZ3P+DlZ/3D8i6quAL&#10;zozoaUT3ZfX8Q5vnn0+MFA4KDdblFPhoHzBwdPYO5JNjBratMI26RoShVaKivrIQn5wlBMNRKiuH&#10;T1BRAbHzEMUaa+wDIMnAxjiTw2kmavRMknOeXa4WSxqdpLdskWWLdB5riPwl3aLzHxT0LFwKjjT0&#10;CC/2d86HdkT+EhLbB91Vt53W0cCm3GpkexEWJF2+X15Oudq2YvKuLtJJBsJxU3jEdK9xtAloBgLu&#10;VDJ4ohCB+6ShH8vxqPVR1RKqAymDMC0mfSS6tIDfORtoKQvuvu0EKs70RxPUTVehF+bPLDyzyjNL&#10;GElwBfecTdetn7Z/Z7FrWqqWRb4GrmkqdRf1ChObOjtSoOWLlI8fJWz3aztG/f7Om18AAAD//wMA&#10;UEsDBBQABgAIAAAAIQC67W6p3wAAAAwBAAAPAAAAZHJzL2Rvd25yZXYueG1sTI/BTsMwEETvSPyD&#10;tUjcqN2ipiHEqVArjgjRILg68eJYjddR7KaBr8c9wXE1T7Nvyu3sejbhGKwnCcuFAIbUem3JSHiv&#10;n+9yYCEq0qr3hBK+McC2ur4qVaH9md5wOkTDUgmFQknoYhwKzkPboVNh4QeklH350amYztFwPapz&#10;Knc9XwmRcacspQ+dGnDXYXs8nJwE8zL9mI96747N62DR7j83u5qkvL2Znx6BRZzjHwwX/aQOVXJq&#10;/Il0YL2ELF9mCU1Bnq+BXQix2qQ1jYT7h7UAXpX8/4jqFwAA//8DAFBLAQItABQABgAIAAAAIQC2&#10;gziS/gAAAOEBAAATAAAAAAAAAAAAAAAAAAAAAABbQ29udGVudF9UeXBlc10ueG1sUEsBAi0AFAAG&#10;AAgAAAAhADj9If/WAAAAlAEAAAsAAAAAAAAAAAAAAAAALwEAAF9yZWxzLy5yZWxzUEsBAi0AFAAG&#10;AAgAAAAhAFc19ToaAgAAFgQAAA4AAAAAAAAAAAAAAAAALgIAAGRycy9lMm9Eb2MueG1sUEsBAi0A&#10;FAAGAAgAAAAhALrtbqnfAAAADAEAAA8AAAAAAAAAAAAAAAAAdA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4AAFE7CA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595C1E87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3E0BFB55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B5C0FF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3B9DDAB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5C79934E" w14:textId="209EA3D4" w:rsidR="0065124E" w:rsidRPr="00962E68" w:rsidRDefault="00EF571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3F14FB4A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2F92B90" w14:textId="77777777" w:rsidR="0065124E" w:rsidRPr="00962E68" w:rsidRDefault="0065124E" w:rsidP="000440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1D2E" wp14:editId="312CFB02">
                <wp:simplePos x="0" y="0"/>
                <wp:positionH relativeFrom="margin">
                  <wp:posOffset>-47625</wp:posOffset>
                </wp:positionH>
                <wp:positionV relativeFrom="paragraph">
                  <wp:posOffset>1195070</wp:posOffset>
                </wp:positionV>
                <wp:extent cx="4322445" cy="1311965"/>
                <wp:effectExtent l="0" t="0" r="1905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11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664DB" w14:textId="77777777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067E241" w14:textId="189AF1A9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DC6D5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1D2E" id="Obdélník 199" o:spid="_x0000_s1030" style="position:absolute;left:0;text-align:left;margin-left:-3.75pt;margin-top:94.1pt;width:340.35pt;height:103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iUuwIAANsFAAAOAAAAZHJzL2Uyb0RvYy54bWysVM1O3DAQvlfqO1i+lyTLQiEii1Ygqkpb&#10;QIWKs9dxNhGOx7W9m92+EYc+BS/WsZ2kLEU9VL1Y9vx8M/N5Zs7Ot60kG2FsA6qg2UFKiVAcykat&#10;Cvrt/urDCSXWMVUyCUoUdCcsPZ+9f3fW6VxMoAZZCkMQRNm80wWtndN5klhei5bZA9BCobIC0zKH&#10;T7NKSsM6RG9lMknT46QDU2oDXFiL0suopLOAX1WCu5uqssIRWVDMzYXThHPpz2R2xvKVYbpueJ8G&#10;+4csWtYoDDpCXTLHyNo0f0C1DTdgoXIHHNoEqqrhItSA1WTpq2ruaqZFqAXJsXqkyf4/WH69uTWk&#10;KfHvTk8pUazFT7pZls9PUj3/fCReihx12uZoeqdvja/S6gXwR4uKZE/jH7a32Vam9bZYI9kGwncj&#10;4WLrCEfh9HAymU6PKOGoyw6z7PT4yIdLWD64a2PdJwEt8ZeCGvzRQDTbLKyLpoNJyAxkU141UoaH&#10;7yJxIQ3ZMPz/5SoLrnLdfoEyyj4epWnoAgwZms6bhwTsSySpPJ4CjxyDekkoPtYbKnc7KbydVF9F&#10;haRihZMQcUSOQRnnQrmYjK1ZKaLYp/J2LgHQI1cYf8TuAfaLHLBjlr29dxVhGkbn9G+JRefRI0QG&#10;5UbntlFg3gKQWFUfOdoPJEVqPEtuu9yGhpsOjbWEcodNaCBOp9X8qsHPXjDrbpnBccTBxRXjbvCo&#10;JHQFhf5GSQ3mx1tyb49TglpKOhzvgtrva2YEJfKzwvnJ0hNPNnF7L7P3Wu691Lq9AOyiDBea5uGK&#10;/sbJ4VoZaB9wG819ZFQxxTF+Qd1wvXBx8eA242I+D0a4BTRzC3WnuYf2TPt2vt8+MKP7nnc4Ltcw&#10;LAOWv2r9aOs9FczXDqomzIXnOjLb/wFukNDY/bbzK+rlO1j93smzXwAAAP//AwBQSwMEFAAGAAgA&#10;AAAhAEZDRVreAAAACgEAAA8AAABkcnMvZG93bnJldi54bWxMj0FPwzAMhe9I/IfISNy2lJZuoWs6&#10;ISQunGBMiKPXZG1F45Qm68q/x5zYzfZ7eu9zuZ1dLyY7hs6ThrtlAsJS7U1HjYb9+/NCgQgRyWDv&#10;yWr4sQG21fVViYXxZ3qz0y42gkMoFKihjXEopAx1ax2GpR8ssXb0o8PI69hIM+KZw10v0yRZSYcd&#10;cUOLg31qbf21OznuVeH1O6Upe/nYY/6JcpBJzLW+vZkfNyCineO/Gf7wGR0qZjr4E5kgeg2Ldc5O&#10;viuVgmDDap3xcNCQPdwrkFUpL1+ofgEAAP//AwBQSwECLQAUAAYACAAAACEAtoM4kv4AAADhAQAA&#10;EwAAAAAAAAAAAAAAAAAAAAAAW0NvbnRlbnRfVHlwZXNdLnhtbFBLAQItABQABgAIAAAAIQA4/SH/&#10;1gAAAJQBAAALAAAAAAAAAAAAAAAAAC8BAABfcmVscy8ucmVsc1BLAQItABQABgAIAAAAIQC8AdiU&#10;uwIAANsFAAAOAAAAAAAAAAAAAAAAAC4CAABkcnMvZTJvRG9jLnhtbFBLAQItABQABgAIAAAAIQBG&#10;Q0Va3gAAAAoBAAAPAAAAAAAAAAAAAAAAABUFAABkcnMvZG93bnJldi54bWxQSwUGAAAAAAQABADz&#10;AAAAIAYAAAAA&#10;" fillcolor="#bfbfbf [2412]" stroked="f" strokeweight="1pt">
                <v:textbox inset="3mm,3mm,3mm,3mm">
                  <w:txbxContent>
                    <w:p w14:paraId="0F5664DB" w14:textId="77777777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067E241" w14:textId="189AF1A9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DC6D53">
                        <w:rPr>
                          <w:rFonts w:cs="Arial"/>
                          <w:sz w:val="16"/>
                          <w:szCs w:val="16"/>
                        </w:rPr>
                        <w:t xml:space="preserve">40 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39B6" w:rsidSect="00412859">
      <w:headerReference w:type="default" r:id="rId11"/>
      <w:footerReference w:type="default" r:id="rId12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5C392" w14:textId="77777777" w:rsidR="008106BB" w:rsidRDefault="008106BB" w:rsidP="00F573F1">
      <w:r>
        <w:separator/>
      </w:r>
    </w:p>
  </w:endnote>
  <w:endnote w:type="continuationSeparator" w:id="0">
    <w:p w14:paraId="63E7F0EC" w14:textId="77777777" w:rsidR="008106BB" w:rsidRDefault="008106B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570519E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EA1B82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9C0D58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CC83" w14:textId="77777777" w:rsidR="008106BB" w:rsidRDefault="008106BB" w:rsidP="00F573F1">
      <w:r>
        <w:separator/>
      </w:r>
    </w:p>
  </w:footnote>
  <w:footnote w:type="continuationSeparator" w:id="0">
    <w:p w14:paraId="4CA1510A" w14:textId="77777777" w:rsidR="008106BB" w:rsidRDefault="008106B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818A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04F3" wp14:editId="3A1389E3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30A1"/>
    <w:multiLevelType w:val="hybridMultilevel"/>
    <w:tmpl w:val="91B8A2EE"/>
    <w:lvl w:ilvl="0" w:tplc="FFFC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4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E3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C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0F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2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6B2955"/>
    <w:multiLevelType w:val="hybridMultilevel"/>
    <w:tmpl w:val="20A47AA4"/>
    <w:lvl w:ilvl="0" w:tplc="29E6A56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2F73"/>
    <w:multiLevelType w:val="hybridMultilevel"/>
    <w:tmpl w:val="28CC7AC8"/>
    <w:lvl w:ilvl="0" w:tplc="E14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F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E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7F22"/>
    <w:multiLevelType w:val="hybridMultilevel"/>
    <w:tmpl w:val="365A6488"/>
    <w:lvl w:ilvl="0" w:tplc="155E17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66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0663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A46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E68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A46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80B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EA3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CF9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A1425"/>
    <w:multiLevelType w:val="hybridMultilevel"/>
    <w:tmpl w:val="E98E9302"/>
    <w:lvl w:ilvl="0" w:tplc="39A6E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6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6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8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A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0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E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14"/>
  </w:num>
  <w:num w:numId="5">
    <w:abstractNumId w:val="3"/>
  </w:num>
  <w:num w:numId="6">
    <w:abstractNumId w:val="23"/>
  </w:num>
  <w:num w:numId="7">
    <w:abstractNumId w:val="5"/>
  </w:num>
  <w:num w:numId="8">
    <w:abstractNumId w:val="28"/>
  </w:num>
  <w:num w:numId="9">
    <w:abstractNumId w:val="4"/>
  </w:num>
  <w:num w:numId="10">
    <w:abstractNumId w:val="24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18"/>
  </w:num>
  <w:num w:numId="19">
    <w:abstractNumId w:val="20"/>
  </w:num>
  <w:num w:numId="20">
    <w:abstractNumId w:val="8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7"/>
  </w:num>
  <w:num w:numId="26">
    <w:abstractNumId w:val="15"/>
  </w:num>
  <w:num w:numId="27">
    <w:abstractNumId w:val="11"/>
  </w:num>
  <w:num w:numId="28">
    <w:abstractNumId w:val="1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LQwNDMwMzKyMDZQ0lEKTi0uzszPAykwrAUAW47jMCwAAAA="/>
  </w:docVars>
  <w:rsids>
    <w:rsidRoot w:val="005C1943"/>
    <w:rsid w:val="00001F00"/>
    <w:rsid w:val="00004CDE"/>
    <w:rsid w:val="000054D2"/>
    <w:rsid w:val="00005740"/>
    <w:rsid w:val="00010564"/>
    <w:rsid w:val="0001061E"/>
    <w:rsid w:val="00010F99"/>
    <w:rsid w:val="000118C2"/>
    <w:rsid w:val="00012E41"/>
    <w:rsid w:val="00015933"/>
    <w:rsid w:val="000159E5"/>
    <w:rsid w:val="00020581"/>
    <w:rsid w:val="000213CC"/>
    <w:rsid w:val="00023E9F"/>
    <w:rsid w:val="00032023"/>
    <w:rsid w:val="00037707"/>
    <w:rsid w:val="00037F53"/>
    <w:rsid w:val="00043889"/>
    <w:rsid w:val="00044002"/>
    <w:rsid w:val="00051A5B"/>
    <w:rsid w:val="000559DE"/>
    <w:rsid w:val="00057396"/>
    <w:rsid w:val="00060D7F"/>
    <w:rsid w:val="00062624"/>
    <w:rsid w:val="000723B8"/>
    <w:rsid w:val="00072447"/>
    <w:rsid w:val="0007445A"/>
    <w:rsid w:val="000842AE"/>
    <w:rsid w:val="00084CB1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1627"/>
    <w:rsid w:val="000D4F26"/>
    <w:rsid w:val="000D5D2B"/>
    <w:rsid w:val="000E0124"/>
    <w:rsid w:val="000E2B4E"/>
    <w:rsid w:val="000E4ABC"/>
    <w:rsid w:val="000E563F"/>
    <w:rsid w:val="000F70CA"/>
    <w:rsid w:val="0010268F"/>
    <w:rsid w:val="0010277A"/>
    <w:rsid w:val="001062AE"/>
    <w:rsid w:val="001114E2"/>
    <w:rsid w:val="001126B2"/>
    <w:rsid w:val="0011443F"/>
    <w:rsid w:val="001155A8"/>
    <w:rsid w:val="00116F4B"/>
    <w:rsid w:val="00120A9E"/>
    <w:rsid w:val="00123FF9"/>
    <w:rsid w:val="00126427"/>
    <w:rsid w:val="00131E94"/>
    <w:rsid w:val="00144D53"/>
    <w:rsid w:val="00146781"/>
    <w:rsid w:val="00146F46"/>
    <w:rsid w:val="0015125A"/>
    <w:rsid w:val="0015295E"/>
    <w:rsid w:val="001622C2"/>
    <w:rsid w:val="00165DDC"/>
    <w:rsid w:val="001666C9"/>
    <w:rsid w:val="00167C37"/>
    <w:rsid w:val="00170F6F"/>
    <w:rsid w:val="0017441E"/>
    <w:rsid w:val="00175A85"/>
    <w:rsid w:val="00176C20"/>
    <w:rsid w:val="00176CCF"/>
    <w:rsid w:val="001869C9"/>
    <w:rsid w:val="00191FE7"/>
    <w:rsid w:val="00195C6D"/>
    <w:rsid w:val="001A2623"/>
    <w:rsid w:val="001A46CC"/>
    <w:rsid w:val="001A52B7"/>
    <w:rsid w:val="001A6304"/>
    <w:rsid w:val="001B0DDD"/>
    <w:rsid w:val="001C04E7"/>
    <w:rsid w:val="001C091C"/>
    <w:rsid w:val="001C12D0"/>
    <w:rsid w:val="001C2261"/>
    <w:rsid w:val="001C3F17"/>
    <w:rsid w:val="001C6945"/>
    <w:rsid w:val="001C7F88"/>
    <w:rsid w:val="001D5BB9"/>
    <w:rsid w:val="001D5F49"/>
    <w:rsid w:val="001E15FD"/>
    <w:rsid w:val="001E27B8"/>
    <w:rsid w:val="001E6F5D"/>
    <w:rsid w:val="001F0F7C"/>
    <w:rsid w:val="001F132F"/>
    <w:rsid w:val="001F3DF4"/>
    <w:rsid w:val="001F5CF7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0E96"/>
    <w:rsid w:val="0024330D"/>
    <w:rsid w:val="002443DF"/>
    <w:rsid w:val="00244923"/>
    <w:rsid w:val="002472A6"/>
    <w:rsid w:val="00247512"/>
    <w:rsid w:val="00247AC5"/>
    <w:rsid w:val="0025305E"/>
    <w:rsid w:val="00253D09"/>
    <w:rsid w:val="0025537F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048A"/>
    <w:rsid w:val="002D1376"/>
    <w:rsid w:val="002D49FB"/>
    <w:rsid w:val="002D5FB4"/>
    <w:rsid w:val="002E1390"/>
    <w:rsid w:val="002E5E57"/>
    <w:rsid w:val="002F1752"/>
    <w:rsid w:val="002F477C"/>
    <w:rsid w:val="002F557F"/>
    <w:rsid w:val="003028DC"/>
    <w:rsid w:val="0030341A"/>
    <w:rsid w:val="00315F32"/>
    <w:rsid w:val="00327407"/>
    <w:rsid w:val="00335341"/>
    <w:rsid w:val="00340BDC"/>
    <w:rsid w:val="00341D86"/>
    <w:rsid w:val="003472AF"/>
    <w:rsid w:val="003508FE"/>
    <w:rsid w:val="00351369"/>
    <w:rsid w:val="003523A6"/>
    <w:rsid w:val="003561DB"/>
    <w:rsid w:val="003608FD"/>
    <w:rsid w:val="0036420C"/>
    <w:rsid w:val="00366057"/>
    <w:rsid w:val="003677E2"/>
    <w:rsid w:val="0037072F"/>
    <w:rsid w:val="00370F35"/>
    <w:rsid w:val="00371442"/>
    <w:rsid w:val="003739F0"/>
    <w:rsid w:val="00376918"/>
    <w:rsid w:val="00376F07"/>
    <w:rsid w:val="00380788"/>
    <w:rsid w:val="003847A3"/>
    <w:rsid w:val="003900F8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3B9F"/>
    <w:rsid w:val="003B4F01"/>
    <w:rsid w:val="003B5E6F"/>
    <w:rsid w:val="003C373E"/>
    <w:rsid w:val="003C3D7F"/>
    <w:rsid w:val="003C6326"/>
    <w:rsid w:val="003D079C"/>
    <w:rsid w:val="003D224C"/>
    <w:rsid w:val="003D5C1B"/>
    <w:rsid w:val="003E14DF"/>
    <w:rsid w:val="003E27A8"/>
    <w:rsid w:val="003E3DCB"/>
    <w:rsid w:val="003E4ADE"/>
    <w:rsid w:val="003E5891"/>
    <w:rsid w:val="003F021E"/>
    <w:rsid w:val="003F03DF"/>
    <w:rsid w:val="003F1CB9"/>
    <w:rsid w:val="003F3F67"/>
    <w:rsid w:val="003F7F31"/>
    <w:rsid w:val="00402FA1"/>
    <w:rsid w:val="00403512"/>
    <w:rsid w:val="00403744"/>
    <w:rsid w:val="00412859"/>
    <w:rsid w:val="0041521E"/>
    <w:rsid w:val="00415B21"/>
    <w:rsid w:val="00422826"/>
    <w:rsid w:val="00425B3B"/>
    <w:rsid w:val="004325D3"/>
    <w:rsid w:val="00436BA1"/>
    <w:rsid w:val="00437589"/>
    <w:rsid w:val="00443DAE"/>
    <w:rsid w:val="00445609"/>
    <w:rsid w:val="004476C2"/>
    <w:rsid w:val="00450F60"/>
    <w:rsid w:val="00451368"/>
    <w:rsid w:val="004555F3"/>
    <w:rsid w:val="004641CC"/>
    <w:rsid w:val="0046651A"/>
    <w:rsid w:val="004666A2"/>
    <w:rsid w:val="004714FB"/>
    <w:rsid w:val="00472210"/>
    <w:rsid w:val="0047757F"/>
    <w:rsid w:val="00477AF5"/>
    <w:rsid w:val="0048354D"/>
    <w:rsid w:val="0048489E"/>
    <w:rsid w:val="00490D06"/>
    <w:rsid w:val="00490E1A"/>
    <w:rsid w:val="00492636"/>
    <w:rsid w:val="004979BF"/>
    <w:rsid w:val="004A1724"/>
    <w:rsid w:val="004A435C"/>
    <w:rsid w:val="004A53BB"/>
    <w:rsid w:val="004A6CE0"/>
    <w:rsid w:val="004A74F4"/>
    <w:rsid w:val="004B0327"/>
    <w:rsid w:val="004B1766"/>
    <w:rsid w:val="004B7ECE"/>
    <w:rsid w:val="004C0A56"/>
    <w:rsid w:val="004C50BF"/>
    <w:rsid w:val="004C751A"/>
    <w:rsid w:val="004D1D87"/>
    <w:rsid w:val="004D4333"/>
    <w:rsid w:val="004D6531"/>
    <w:rsid w:val="004E011D"/>
    <w:rsid w:val="004E1AC6"/>
    <w:rsid w:val="004E4B5B"/>
    <w:rsid w:val="004F1CA5"/>
    <w:rsid w:val="004F27A2"/>
    <w:rsid w:val="004F6CFB"/>
    <w:rsid w:val="004F6EA8"/>
    <w:rsid w:val="004F70A7"/>
    <w:rsid w:val="005003F8"/>
    <w:rsid w:val="00504E0E"/>
    <w:rsid w:val="005069C2"/>
    <w:rsid w:val="00511322"/>
    <w:rsid w:val="0051164C"/>
    <w:rsid w:val="00512176"/>
    <w:rsid w:val="005132DB"/>
    <w:rsid w:val="00517111"/>
    <w:rsid w:val="00517230"/>
    <w:rsid w:val="0051771C"/>
    <w:rsid w:val="005208BD"/>
    <w:rsid w:val="00521FF6"/>
    <w:rsid w:val="00530B72"/>
    <w:rsid w:val="00532551"/>
    <w:rsid w:val="0053589B"/>
    <w:rsid w:val="00537D95"/>
    <w:rsid w:val="00542484"/>
    <w:rsid w:val="00546214"/>
    <w:rsid w:val="00546646"/>
    <w:rsid w:val="00552694"/>
    <w:rsid w:val="0055377C"/>
    <w:rsid w:val="00554717"/>
    <w:rsid w:val="00556D48"/>
    <w:rsid w:val="00556DE6"/>
    <w:rsid w:val="00561ED7"/>
    <w:rsid w:val="005642DD"/>
    <w:rsid w:val="00564453"/>
    <w:rsid w:val="00564E8F"/>
    <w:rsid w:val="005666D7"/>
    <w:rsid w:val="00571BEE"/>
    <w:rsid w:val="00571C08"/>
    <w:rsid w:val="00573F62"/>
    <w:rsid w:val="00576B38"/>
    <w:rsid w:val="00576C13"/>
    <w:rsid w:val="00576CF4"/>
    <w:rsid w:val="00580591"/>
    <w:rsid w:val="00584718"/>
    <w:rsid w:val="00584BB0"/>
    <w:rsid w:val="00587350"/>
    <w:rsid w:val="0059042F"/>
    <w:rsid w:val="00591F29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112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C62"/>
    <w:rsid w:val="00611C5C"/>
    <w:rsid w:val="006131E9"/>
    <w:rsid w:val="00613498"/>
    <w:rsid w:val="0061392C"/>
    <w:rsid w:val="006161B1"/>
    <w:rsid w:val="006226EA"/>
    <w:rsid w:val="0062336F"/>
    <w:rsid w:val="0063314F"/>
    <w:rsid w:val="00635A8E"/>
    <w:rsid w:val="006445A3"/>
    <w:rsid w:val="00650724"/>
    <w:rsid w:val="0065113F"/>
    <w:rsid w:val="0065124E"/>
    <w:rsid w:val="006513A0"/>
    <w:rsid w:val="006526DB"/>
    <w:rsid w:val="00652A91"/>
    <w:rsid w:val="00652E95"/>
    <w:rsid w:val="00654F37"/>
    <w:rsid w:val="00661C43"/>
    <w:rsid w:val="00662C23"/>
    <w:rsid w:val="00676326"/>
    <w:rsid w:val="006777C7"/>
    <w:rsid w:val="00677C94"/>
    <w:rsid w:val="006839E8"/>
    <w:rsid w:val="00685206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B4B63"/>
    <w:rsid w:val="006C5227"/>
    <w:rsid w:val="006D0EE8"/>
    <w:rsid w:val="006D20E5"/>
    <w:rsid w:val="006D23EF"/>
    <w:rsid w:val="006D61DA"/>
    <w:rsid w:val="006E0941"/>
    <w:rsid w:val="006E1DC5"/>
    <w:rsid w:val="006E3420"/>
    <w:rsid w:val="006E3FA9"/>
    <w:rsid w:val="006F2196"/>
    <w:rsid w:val="006F2B29"/>
    <w:rsid w:val="006F4812"/>
    <w:rsid w:val="00702D07"/>
    <w:rsid w:val="007033F2"/>
    <w:rsid w:val="007078D6"/>
    <w:rsid w:val="007133E9"/>
    <w:rsid w:val="00714837"/>
    <w:rsid w:val="00715DF2"/>
    <w:rsid w:val="00717B00"/>
    <w:rsid w:val="00720DE3"/>
    <w:rsid w:val="00721158"/>
    <w:rsid w:val="00722F2C"/>
    <w:rsid w:val="00727012"/>
    <w:rsid w:val="0072723A"/>
    <w:rsid w:val="00730A28"/>
    <w:rsid w:val="00733C05"/>
    <w:rsid w:val="007363B8"/>
    <w:rsid w:val="00737713"/>
    <w:rsid w:val="007402C2"/>
    <w:rsid w:val="00743577"/>
    <w:rsid w:val="007558AD"/>
    <w:rsid w:val="007609D5"/>
    <w:rsid w:val="007634BD"/>
    <w:rsid w:val="007723DB"/>
    <w:rsid w:val="007813D1"/>
    <w:rsid w:val="00781733"/>
    <w:rsid w:val="0078687A"/>
    <w:rsid w:val="00786BB9"/>
    <w:rsid w:val="00786FE5"/>
    <w:rsid w:val="0079363F"/>
    <w:rsid w:val="00795005"/>
    <w:rsid w:val="007953B5"/>
    <w:rsid w:val="007964DC"/>
    <w:rsid w:val="007A3BFB"/>
    <w:rsid w:val="007A7E59"/>
    <w:rsid w:val="007B02A8"/>
    <w:rsid w:val="007B5E3D"/>
    <w:rsid w:val="007B6B28"/>
    <w:rsid w:val="007B7B44"/>
    <w:rsid w:val="007C4C83"/>
    <w:rsid w:val="007D275E"/>
    <w:rsid w:val="007D4025"/>
    <w:rsid w:val="007D4C53"/>
    <w:rsid w:val="007E1035"/>
    <w:rsid w:val="007E18D1"/>
    <w:rsid w:val="007E5A59"/>
    <w:rsid w:val="007F166D"/>
    <w:rsid w:val="007F1EDF"/>
    <w:rsid w:val="007F40D6"/>
    <w:rsid w:val="007F544F"/>
    <w:rsid w:val="007F742B"/>
    <w:rsid w:val="007F7CBC"/>
    <w:rsid w:val="00802F9F"/>
    <w:rsid w:val="00803E55"/>
    <w:rsid w:val="00804827"/>
    <w:rsid w:val="00804F92"/>
    <w:rsid w:val="00806914"/>
    <w:rsid w:val="00807F85"/>
    <w:rsid w:val="008106BB"/>
    <w:rsid w:val="00811FE2"/>
    <w:rsid w:val="00812C18"/>
    <w:rsid w:val="00820549"/>
    <w:rsid w:val="00820A66"/>
    <w:rsid w:val="00821214"/>
    <w:rsid w:val="008234C1"/>
    <w:rsid w:val="00826371"/>
    <w:rsid w:val="0082668B"/>
    <w:rsid w:val="00830214"/>
    <w:rsid w:val="00830902"/>
    <w:rsid w:val="00833059"/>
    <w:rsid w:val="00834366"/>
    <w:rsid w:val="008347A0"/>
    <w:rsid w:val="008363D1"/>
    <w:rsid w:val="00842443"/>
    <w:rsid w:val="00843285"/>
    <w:rsid w:val="00843386"/>
    <w:rsid w:val="008466C4"/>
    <w:rsid w:val="008522B5"/>
    <w:rsid w:val="008523E1"/>
    <w:rsid w:val="008531B9"/>
    <w:rsid w:val="00854190"/>
    <w:rsid w:val="00854418"/>
    <w:rsid w:val="00854682"/>
    <w:rsid w:val="00857A3C"/>
    <w:rsid w:val="00860613"/>
    <w:rsid w:val="008612B4"/>
    <w:rsid w:val="0086454A"/>
    <w:rsid w:val="00864D92"/>
    <w:rsid w:val="00870102"/>
    <w:rsid w:val="00872437"/>
    <w:rsid w:val="00872847"/>
    <w:rsid w:val="00872C9B"/>
    <w:rsid w:val="008825CE"/>
    <w:rsid w:val="0088460D"/>
    <w:rsid w:val="008857AA"/>
    <w:rsid w:val="0088623B"/>
    <w:rsid w:val="00890B66"/>
    <w:rsid w:val="008949C6"/>
    <w:rsid w:val="008A5FAE"/>
    <w:rsid w:val="008A6398"/>
    <w:rsid w:val="008B19B7"/>
    <w:rsid w:val="008B1C16"/>
    <w:rsid w:val="008B76EF"/>
    <w:rsid w:val="008C1507"/>
    <w:rsid w:val="008C5671"/>
    <w:rsid w:val="008D1A53"/>
    <w:rsid w:val="008D4972"/>
    <w:rsid w:val="008D5D79"/>
    <w:rsid w:val="008E2336"/>
    <w:rsid w:val="008E66A3"/>
    <w:rsid w:val="008F047E"/>
    <w:rsid w:val="008F2959"/>
    <w:rsid w:val="008F399F"/>
    <w:rsid w:val="00902531"/>
    <w:rsid w:val="009038F9"/>
    <w:rsid w:val="00904B49"/>
    <w:rsid w:val="00905AAB"/>
    <w:rsid w:val="009139AF"/>
    <w:rsid w:val="00916EE8"/>
    <w:rsid w:val="009219AC"/>
    <w:rsid w:val="0092288F"/>
    <w:rsid w:val="009234FD"/>
    <w:rsid w:val="00924258"/>
    <w:rsid w:val="00924973"/>
    <w:rsid w:val="00931E42"/>
    <w:rsid w:val="00935EAC"/>
    <w:rsid w:val="009435F6"/>
    <w:rsid w:val="00944529"/>
    <w:rsid w:val="00944D10"/>
    <w:rsid w:val="009454B6"/>
    <w:rsid w:val="00946929"/>
    <w:rsid w:val="00953C6B"/>
    <w:rsid w:val="0095412B"/>
    <w:rsid w:val="00954650"/>
    <w:rsid w:val="00956232"/>
    <w:rsid w:val="00962CB7"/>
    <w:rsid w:val="00962E68"/>
    <w:rsid w:val="00963AA3"/>
    <w:rsid w:val="00963B80"/>
    <w:rsid w:val="00966080"/>
    <w:rsid w:val="009664DD"/>
    <w:rsid w:val="00975439"/>
    <w:rsid w:val="0097655E"/>
    <w:rsid w:val="00977317"/>
    <w:rsid w:val="00980C11"/>
    <w:rsid w:val="0098257D"/>
    <w:rsid w:val="00987232"/>
    <w:rsid w:val="00991B95"/>
    <w:rsid w:val="00992840"/>
    <w:rsid w:val="009948C8"/>
    <w:rsid w:val="00994CC4"/>
    <w:rsid w:val="009976E7"/>
    <w:rsid w:val="009A11ED"/>
    <w:rsid w:val="009A1795"/>
    <w:rsid w:val="009A1CB0"/>
    <w:rsid w:val="009A35FD"/>
    <w:rsid w:val="009A65F0"/>
    <w:rsid w:val="009A7026"/>
    <w:rsid w:val="009A74AD"/>
    <w:rsid w:val="009B393A"/>
    <w:rsid w:val="009B7972"/>
    <w:rsid w:val="009C0DD6"/>
    <w:rsid w:val="009C1492"/>
    <w:rsid w:val="009C1B29"/>
    <w:rsid w:val="009D0E88"/>
    <w:rsid w:val="009D24D7"/>
    <w:rsid w:val="009D2DB6"/>
    <w:rsid w:val="009D2F47"/>
    <w:rsid w:val="009D7835"/>
    <w:rsid w:val="009E056E"/>
    <w:rsid w:val="009E172B"/>
    <w:rsid w:val="009E39C0"/>
    <w:rsid w:val="009E5367"/>
    <w:rsid w:val="009F1E76"/>
    <w:rsid w:val="009F3268"/>
    <w:rsid w:val="009F550F"/>
    <w:rsid w:val="009F6C56"/>
    <w:rsid w:val="009F7FC8"/>
    <w:rsid w:val="00A0323B"/>
    <w:rsid w:val="00A033EE"/>
    <w:rsid w:val="00A05C9B"/>
    <w:rsid w:val="00A05E56"/>
    <w:rsid w:val="00A13F1D"/>
    <w:rsid w:val="00A155ED"/>
    <w:rsid w:val="00A15F37"/>
    <w:rsid w:val="00A163E3"/>
    <w:rsid w:val="00A22A52"/>
    <w:rsid w:val="00A425BA"/>
    <w:rsid w:val="00A4316F"/>
    <w:rsid w:val="00A43C54"/>
    <w:rsid w:val="00A45FC0"/>
    <w:rsid w:val="00A51466"/>
    <w:rsid w:val="00A5314F"/>
    <w:rsid w:val="00A54B25"/>
    <w:rsid w:val="00A569E0"/>
    <w:rsid w:val="00A60546"/>
    <w:rsid w:val="00A7149F"/>
    <w:rsid w:val="00A72FF3"/>
    <w:rsid w:val="00A7410C"/>
    <w:rsid w:val="00A76595"/>
    <w:rsid w:val="00A77A8F"/>
    <w:rsid w:val="00A832BA"/>
    <w:rsid w:val="00A848E4"/>
    <w:rsid w:val="00A85048"/>
    <w:rsid w:val="00A8750A"/>
    <w:rsid w:val="00A87FAE"/>
    <w:rsid w:val="00A90878"/>
    <w:rsid w:val="00A950F4"/>
    <w:rsid w:val="00A97F5A"/>
    <w:rsid w:val="00AB0ED1"/>
    <w:rsid w:val="00AB23B0"/>
    <w:rsid w:val="00AB365A"/>
    <w:rsid w:val="00AB4CFC"/>
    <w:rsid w:val="00AB58F2"/>
    <w:rsid w:val="00AC435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03E5"/>
    <w:rsid w:val="00B15438"/>
    <w:rsid w:val="00B17A33"/>
    <w:rsid w:val="00B210A7"/>
    <w:rsid w:val="00B2310C"/>
    <w:rsid w:val="00B24E54"/>
    <w:rsid w:val="00B27646"/>
    <w:rsid w:val="00B37202"/>
    <w:rsid w:val="00B44EAC"/>
    <w:rsid w:val="00B506AC"/>
    <w:rsid w:val="00B50E2C"/>
    <w:rsid w:val="00B54F8C"/>
    <w:rsid w:val="00B60C22"/>
    <w:rsid w:val="00B6460B"/>
    <w:rsid w:val="00B73636"/>
    <w:rsid w:val="00B7657E"/>
    <w:rsid w:val="00B76C42"/>
    <w:rsid w:val="00B84219"/>
    <w:rsid w:val="00B85546"/>
    <w:rsid w:val="00B913AA"/>
    <w:rsid w:val="00B93CE6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68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0EE0"/>
    <w:rsid w:val="00BF5F81"/>
    <w:rsid w:val="00C04F50"/>
    <w:rsid w:val="00C05E06"/>
    <w:rsid w:val="00C12095"/>
    <w:rsid w:val="00C12AFA"/>
    <w:rsid w:val="00C17244"/>
    <w:rsid w:val="00C2020E"/>
    <w:rsid w:val="00C21CA1"/>
    <w:rsid w:val="00C3158E"/>
    <w:rsid w:val="00C3654D"/>
    <w:rsid w:val="00C4108B"/>
    <w:rsid w:val="00C44924"/>
    <w:rsid w:val="00C461EB"/>
    <w:rsid w:val="00C520D7"/>
    <w:rsid w:val="00C545B3"/>
    <w:rsid w:val="00C57866"/>
    <w:rsid w:val="00C57869"/>
    <w:rsid w:val="00C627A3"/>
    <w:rsid w:val="00C64C2F"/>
    <w:rsid w:val="00C6528A"/>
    <w:rsid w:val="00C7375A"/>
    <w:rsid w:val="00C74048"/>
    <w:rsid w:val="00C74654"/>
    <w:rsid w:val="00C842EF"/>
    <w:rsid w:val="00C8685C"/>
    <w:rsid w:val="00C87795"/>
    <w:rsid w:val="00C9786B"/>
    <w:rsid w:val="00C97936"/>
    <w:rsid w:val="00CA7866"/>
    <w:rsid w:val="00CB1580"/>
    <w:rsid w:val="00CB4072"/>
    <w:rsid w:val="00CB517A"/>
    <w:rsid w:val="00CC5AF3"/>
    <w:rsid w:val="00CC68BF"/>
    <w:rsid w:val="00CC7C45"/>
    <w:rsid w:val="00CE594A"/>
    <w:rsid w:val="00CF1C84"/>
    <w:rsid w:val="00CF4CD4"/>
    <w:rsid w:val="00CF72AC"/>
    <w:rsid w:val="00D004E5"/>
    <w:rsid w:val="00D0142A"/>
    <w:rsid w:val="00D0150B"/>
    <w:rsid w:val="00D038D7"/>
    <w:rsid w:val="00D10717"/>
    <w:rsid w:val="00D10AF8"/>
    <w:rsid w:val="00D114FF"/>
    <w:rsid w:val="00D13EDA"/>
    <w:rsid w:val="00D2261D"/>
    <w:rsid w:val="00D24515"/>
    <w:rsid w:val="00D324DA"/>
    <w:rsid w:val="00D32A14"/>
    <w:rsid w:val="00D32B43"/>
    <w:rsid w:val="00D33B35"/>
    <w:rsid w:val="00D357A4"/>
    <w:rsid w:val="00D36238"/>
    <w:rsid w:val="00D41347"/>
    <w:rsid w:val="00D4634D"/>
    <w:rsid w:val="00D46865"/>
    <w:rsid w:val="00D477C3"/>
    <w:rsid w:val="00D52944"/>
    <w:rsid w:val="00D55406"/>
    <w:rsid w:val="00D570C6"/>
    <w:rsid w:val="00D6571C"/>
    <w:rsid w:val="00D670D3"/>
    <w:rsid w:val="00D67470"/>
    <w:rsid w:val="00D67FC9"/>
    <w:rsid w:val="00D7580B"/>
    <w:rsid w:val="00D775D2"/>
    <w:rsid w:val="00D8118D"/>
    <w:rsid w:val="00D81B3E"/>
    <w:rsid w:val="00D85155"/>
    <w:rsid w:val="00D93EB9"/>
    <w:rsid w:val="00D97E49"/>
    <w:rsid w:val="00DA1274"/>
    <w:rsid w:val="00DA4875"/>
    <w:rsid w:val="00DA4917"/>
    <w:rsid w:val="00DB67E5"/>
    <w:rsid w:val="00DC12D3"/>
    <w:rsid w:val="00DC13F9"/>
    <w:rsid w:val="00DC545A"/>
    <w:rsid w:val="00DC585F"/>
    <w:rsid w:val="00DC6D53"/>
    <w:rsid w:val="00DC7B9B"/>
    <w:rsid w:val="00DD42EF"/>
    <w:rsid w:val="00DD4F3E"/>
    <w:rsid w:val="00DF3F44"/>
    <w:rsid w:val="00DF431A"/>
    <w:rsid w:val="00DF6D21"/>
    <w:rsid w:val="00E02136"/>
    <w:rsid w:val="00E03142"/>
    <w:rsid w:val="00E03E17"/>
    <w:rsid w:val="00E06813"/>
    <w:rsid w:val="00E075C5"/>
    <w:rsid w:val="00E10053"/>
    <w:rsid w:val="00E148D1"/>
    <w:rsid w:val="00E27F2F"/>
    <w:rsid w:val="00E315D6"/>
    <w:rsid w:val="00E3204B"/>
    <w:rsid w:val="00E3317B"/>
    <w:rsid w:val="00E3386F"/>
    <w:rsid w:val="00E350BD"/>
    <w:rsid w:val="00E373B4"/>
    <w:rsid w:val="00E50756"/>
    <w:rsid w:val="00E51449"/>
    <w:rsid w:val="00E528C6"/>
    <w:rsid w:val="00E54596"/>
    <w:rsid w:val="00E56000"/>
    <w:rsid w:val="00E56378"/>
    <w:rsid w:val="00E62E41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7101"/>
    <w:rsid w:val="00E818A8"/>
    <w:rsid w:val="00E82DCF"/>
    <w:rsid w:val="00E83EF0"/>
    <w:rsid w:val="00E8561A"/>
    <w:rsid w:val="00E85DE8"/>
    <w:rsid w:val="00E877A7"/>
    <w:rsid w:val="00E87F5E"/>
    <w:rsid w:val="00E900CF"/>
    <w:rsid w:val="00E91608"/>
    <w:rsid w:val="00E91740"/>
    <w:rsid w:val="00E9372A"/>
    <w:rsid w:val="00E971C6"/>
    <w:rsid w:val="00E979A5"/>
    <w:rsid w:val="00E97A08"/>
    <w:rsid w:val="00E97AAC"/>
    <w:rsid w:val="00EA0258"/>
    <w:rsid w:val="00EA1B82"/>
    <w:rsid w:val="00EA5747"/>
    <w:rsid w:val="00EB322E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D7670"/>
    <w:rsid w:val="00EE29BE"/>
    <w:rsid w:val="00EE39B6"/>
    <w:rsid w:val="00EE3CDA"/>
    <w:rsid w:val="00EF038F"/>
    <w:rsid w:val="00EF07C3"/>
    <w:rsid w:val="00EF0DAB"/>
    <w:rsid w:val="00EF52D2"/>
    <w:rsid w:val="00EF571C"/>
    <w:rsid w:val="00EF6331"/>
    <w:rsid w:val="00F00241"/>
    <w:rsid w:val="00F01AED"/>
    <w:rsid w:val="00F071A2"/>
    <w:rsid w:val="00F11C81"/>
    <w:rsid w:val="00F1303C"/>
    <w:rsid w:val="00F15E8D"/>
    <w:rsid w:val="00F175AF"/>
    <w:rsid w:val="00F247BC"/>
    <w:rsid w:val="00F2719D"/>
    <w:rsid w:val="00F304E6"/>
    <w:rsid w:val="00F313E8"/>
    <w:rsid w:val="00F34786"/>
    <w:rsid w:val="00F36405"/>
    <w:rsid w:val="00F53132"/>
    <w:rsid w:val="00F5456A"/>
    <w:rsid w:val="00F545FC"/>
    <w:rsid w:val="00F54A9B"/>
    <w:rsid w:val="00F56EFA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4F16"/>
    <w:rsid w:val="00F970A7"/>
    <w:rsid w:val="00F9738D"/>
    <w:rsid w:val="00F9749E"/>
    <w:rsid w:val="00FA17EF"/>
    <w:rsid w:val="00FA1EEC"/>
    <w:rsid w:val="00FA2228"/>
    <w:rsid w:val="00FA59C6"/>
    <w:rsid w:val="00FB47A9"/>
    <w:rsid w:val="00FB4A1C"/>
    <w:rsid w:val="00FB5E7D"/>
    <w:rsid w:val="00FB60CC"/>
    <w:rsid w:val="00FB60FB"/>
    <w:rsid w:val="00FB63F4"/>
    <w:rsid w:val="00FC0070"/>
    <w:rsid w:val="00FC23C7"/>
    <w:rsid w:val="00FC3199"/>
    <w:rsid w:val="00FC5A6D"/>
    <w:rsid w:val="00FC5B2A"/>
    <w:rsid w:val="00FD12DB"/>
    <w:rsid w:val="00FD1306"/>
    <w:rsid w:val="00FD3713"/>
    <w:rsid w:val="00FD57E2"/>
    <w:rsid w:val="00FD6858"/>
    <w:rsid w:val="00FD6C9C"/>
    <w:rsid w:val="00FE2ED7"/>
    <w:rsid w:val="00FE4BE9"/>
    <w:rsid w:val="00FE6010"/>
    <w:rsid w:val="00FE7487"/>
    <w:rsid w:val="00FE797F"/>
    <w:rsid w:val="00FF052C"/>
    <w:rsid w:val="00FF27FB"/>
    <w:rsid w:val="00FF2842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0E6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047213716341014E-2"/>
          <c:y val="6.2499837296327541E-2"/>
          <c:w val="0.97475986074657339"/>
          <c:h val="0.425430366658713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E79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46-4711-82C9-7A79157E8964}"/>
              </c:ext>
            </c:extLst>
          </c:dPt>
          <c:dPt>
            <c:idx val="1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46-4711-82C9-7A79157E8964}"/>
              </c:ext>
            </c:extLst>
          </c:dPt>
          <c:dPt>
            <c:idx val="2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46-4711-82C9-7A79157E8964}"/>
              </c:ext>
            </c:extLst>
          </c:dPt>
          <c:dPt>
            <c:idx val="3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46-4711-82C9-7A79157E8964}"/>
              </c:ext>
            </c:extLst>
          </c:dPt>
          <c:dPt>
            <c:idx val="4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46-4711-82C9-7A79157E8964}"/>
              </c:ext>
            </c:extLst>
          </c:dPt>
          <c:dPt>
            <c:idx val="5"/>
            <c:invertIfNegative val="0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46-4711-82C9-7A79157E89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Sheet1!$B$4:$B$9</c:f>
              <c:strCache>
                <c:ptCount val="6"/>
                <c:pt idx="0">
                  <c:v>Ne, a ani ji neplánuji</c:v>
                </c:pt>
                <c:pt idx="1">
                  <c:v>Ne, ale před pandemií COVID-19 jsem ji plánoval a stále ji plánuji</c:v>
                </c:pt>
                <c:pt idx="2">
                  <c:v>Ne, ale před pandemií COVID-19 jsem ji plánoval a v souvislosti s podmínkami na trhu ji budu muset odložit</c:v>
                </c:pt>
                <c:pt idx="3">
                  <c:v>Ne, ale v souvislosti s pandemií a podmínkami na trhu jsem ji začal plánovat</c:v>
                </c:pt>
                <c:pt idx="4">
                  <c:v>Ano, hypotéku mám</c:v>
                </c:pt>
                <c:pt idx="5">
                  <c:v>Ne, žádal jsem, ale nedali mi ji</c:v>
                </c:pt>
              </c:strCache>
            </c:strRef>
          </c:cat>
          <c:val>
            <c:numRef>
              <c:f>Sheet1!$C$4:$C$9</c:f>
              <c:numCache>
                <c:formatCode>###0%</c:formatCode>
                <c:ptCount val="6"/>
                <c:pt idx="0">
                  <c:v>0.67254890524355238</c:v>
                </c:pt>
                <c:pt idx="1">
                  <c:v>5.6329571699393871E-2</c:v>
                </c:pt>
                <c:pt idx="2">
                  <c:v>1.4151003988091078E-2</c:v>
                </c:pt>
                <c:pt idx="3">
                  <c:v>2.2379787998463761E-2</c:v>
                </c:pt>
                <c:pt idx="4">
                  <c:v>0.22337963703334718</c:v>
                </c:pt>
                <c:pt idx="5">
                  <c:v>1.1211094037150517E-2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B46-4711-82C9-7A79157E8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8232176"/>
        <c:axId val="508232504"/>
      </c:barChart>
      <c:catAx>
        <c:axId val="50823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08232504"/>
        <c:crosses val="autoZero"/>
        <c:auto val="1"/>
        <c:lblAlgn val="ctr"/>
        <c:lblOffset val="100"/>
        <c:noMultiLvlLbl val="0"/>
      </c:catAx>
      <c:valAx>
        <c:axId val="508232504"/>
        <c:scaling>
          <c:orientation val="minMax"/>
        </c:scaling>
        <c:delete val="1"/>
        <c:axPos val="l"/>
        <c:numFmt formatCode="###0%" sourceLinked="1"/>
        <c:majorTickMark val="out"/>
        <c:minorTickMark val="none"/>
        <c:tickLblPos val="nextTo"/>
        <c:crossAx val="50823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olannov7!$S$314</c:f>
              <c:strCache>
                <c:ptCount val="1"/>
                <c:pt idx="0">
                  <c:v>má hypotéku</c:v>
                </c:pt>
              </c:strCache>
            </c:strRef>
          </c:tx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B75-4032-9184-BD7B7595C3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B75-4032-9184-BD7B7595C3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B75-4032-9184-BD7B7595C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olannov7!$Q$315:$Q$317</c:f>
              <c:strCache>
                <c:ptCount val="3"/>
                <c:pt idx="0">
                  <c:v>Posuzuje zbytečně přísně</c:v>
                </c:pt>
                <c:pt idx="1">
                  <c:v>Posuzuje přísně, ale to je správné</c:v>
                </c:pt>
                <c:pt idx="2">
                  <c:v>Posuzuje shovívavě / tolerantně / benevolentně</c:v>
                </c:pt>
              </c:strCache>
            </c:strRef>
          </c:cat>
          <c:val>
            <c:numRef>
              <c:f>olannov7!$S$315:$S$317</c:f>
              <c:numCache>
                <c:formatCode>###0%</c:formatCode>
                <c:ptCount val="3"/>
                <c:pt idx="0">
                  <c:v>0.2412252396465745</c:v>
                </c:pt>
                <c:pt idx="1">
                  <c:v>0.65099125226785037</c:v>
                </c:pt>
                <c:pt idx="2">
                  <c:v>0.10778350808557487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75-4032-9184-BD7B7595C318}"/>
            </c:ext>
          </c:extLst>
        </c:ser>
        <c:ser>
          <c:idx val="0"/>
          <c:order val="1"/>
          <c:tx>
            <c:strRef>
              <c:f>olannov7!$R$314</c:f>
              <c:strCache>
                <c:ptCount val="1"/>
                <c:pt idx="0">
                  <c:v>plánuje hypotéku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B75-4032-9184-BD7B7595C3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B75-4032-9184-BD7B7595C3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B75-4032-9184-BD7B7595C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olannov7!$Q$315:$Q$317</c:f>
              <c:strCache>
                <c:ptCount val="3"/>
                <c:pt idx="0">
                  <c:v>Posuzuje zbytečně přísně</c:v>
                </c:pt>
                <c:pt idx="1">
                  <c:v>Posuzuje přísně, ale to je správné</c:v>
                </c:pt>
                <c:pt idx="2">
                  <c:v>Posuzuje shovívavě / tolerantně / benevolentně</c:v>
                </c:pt>
              </c:strCache>
            </c:strRef>
          </c:cat>
          <c:val>
            <c:numRef>
              <c:f>olannov7!$R$315:$R$317</c:f>
              <c:numCache>
                <c:formatCode>###0%</c:formatCode>
                <c:ptCount val="3"/>
                <c:pt idx="0">
                  <c:v>0.19880545183820911</c:v>
                </c:pt>
                <c:pt idx="1">
                  <c:v>0.74749129473073561</c:v>
                </c:pt>
                <c:pt idx="2">
                  <c:v>5.370325343105381E-2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B75-4032-9184-BD7B7595C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6172304"/>
        <c:axId val="614014432"/>
      </c:barChart>
      <c:catAx>
        <c:axId val="63617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4014432"/>
        <c:crosses val="autoZero"/>
        <c:auto val="1"/>
        <c:lblAlgn val="ctr"/>
        <c:lblOffset val="100"/>
        <c:noMultiLvlLbl val="0"/>
      </c:catAx>
      <c:valAx>
        <c:axId val="614014432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63617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39700127304448"/>
          <c:y val="0.23311169437153687"/>
          <c:w val="0.33519543589985384"/>
          <c:h val="0.68895554209569954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Sloupec4</c:v>
                </c:pt>
              </c:strCache>
            </c:strRef>
          </c:tx>
          <c:spPr>
            <a:solidFill>
              <a:srgbClr val="007E79"/>
            </a:solidFill>
          </c:spPr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8B-42C2-9815-4ABC141E22CE}"/>
              </c:ext>
            </c:extLst>
          </c:dPt>
          <c:dPt>
            <c:idx val="1"/>
            <c:bubble3D val="0"/>
            <c:spPr>
              <a:solidFill>
                <a:srgbClr val="007E79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8B-42C2-9815-4ABC141E22CE}"/>
              </c:ext>
            </c:extLst>
          </c:dPt>
          <c:dPt>
            <c:idx val="2"/>
            <c:bubble3D val="0"/>
            <c:spPr>
              <a:solidFill>
                <a:srgbClr val="007E79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8B-42C2-9815-4ABC141E22CE}"/>
              </c:ext>
            </c:extLst>
          </c:dPt>
          <c:dPt>
            <c:idx val="3"/>
            <c:bubble3D val="0"/>
            <c:spPr>
              <a:solidFill>
                <a:srgbClr val="007E79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8B-42C2-9815-4ABC141E22CE}"/>
              </c:ext>
            </c:extLst>
          </c:dPt>
          <c:dPt>
            <c:idx val="4"/>
            <c:bubble3D val="0"/>
            <c:spPr>
              <a:solidFill>
                <a:srgbClr val="007E79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8B-42C2-9815-4ABC141E22CE}"/>
              </c:ext>
            </c:extLst>
          </c:dPt>
          <c:dPt>
            <c:idx val="5"/>
            <c:bubble3D val="0"/>
            <c:spPr>
              <a:solidFill>
                <a:srgbClr val="30905F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8B-42C2-9815-4ABC141E22CE}"/>
              </c:ext>
            </c:extLst>
          </c:dPt>
          <c:dPt>
            <c:idx val="6"/>
            <c:bubble3D val="0"/>
            <c:spPr>
              <a:solidFill>
                <a:srgbClr val="30905F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8B-42C2-9815-4ABC141E22CE}"/>
              </c:ext>
            </c:extLst>
          </c:dPt>
          <c:dLbls>
            <c:dLbl>
              <c:idx val="0"/>
              <c:layout>
                <c:manualLayout>
                  <c:x val="2.3132474464731202E-2"/>
                  <c:y val="-2.412191614310100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8B-42C2-9815-4ABC141E22CE}"/>
                </c:ext>
              </c:extLst>
            </c:dLbl>
            <c:dLbl>
              <c:idx val="1"/>
              <c:layout>
                <c:manualLayout>
                  <c:x val="1.5022590651241837E-2"/>
                  <c:y val="0.1116124212433143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90532187570131"/>
                      <c:h val="0.251398901379921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C8B-42C2-9815-4ABC141E22CE}"/>
                </c:ext>
              </c:extLst>
            </c:dLbl>
            <c:dLbl>
              <c:idx val="2"/>
              <c:layout>
                <c:manualLayout>
                  <c:x val="1.1317184972366019E-2"/>
                  <c:y val="-2.9053397164131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29076158446694"/>
                      <c:h val="0.210761223377362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C8B-42C2-9815-4ABC141E22CE}"/>
                </c:ext>
              </c:extLst>
            </c:dLbl>
            <c:dLbl>
              <c:idx val="3"/>
              <c:layout>
                <c:manualLayout>
                  <c:x val="-2.4591278643444046E-2"/>
                  <c:y val="-4.964024436795710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47490653399501"/>
                      <c:h val="0.208798944197168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C8B-42C2-9815-4ABC141E22CE}"/>
                </c:ext>
              </c:extLst>
            </c:dLbl>
            <c:dLbl>
              <c:idx val="4"/>
              <c:layout>
                <c:manualLayout>
                  <c:x val="-0.24519838979071898"/>
                  <c:y val="-0.217845310658481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98741115831692"/>
                      <c:h val="0.21578264000892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C8B-42C2-9815-4ABC141E22CE}"/>
                </c:ext>
              </c:extLst>
            </c:dLbl>
            <c:dLbl>
              <c:idx val="5"/>
              <c:layout>
                <c:manualLayout>
                  <c:x val="-1.56059095653112E-2"/>
                  <c:y val="1.16602253938305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8B-42C2-9815-4ABC141E22CE}"/>
                </c:ext>
              </c:extLst>
            </c:dLbl>
            <c:dLbl>
              <c:idx val="6"/>
              <c:layout>
                <c:manualLayout>
                  <c:x val="-3.3225148372671265E-2"/>
                  <c:y val="3.057802749166210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8B-42C2-9815-4ABC141E22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Nevím</c:v>
                </c:pt>
                <c:pt idx="1">
                  <c:v>Ne, v případě problému se splácením je vhodnější individuální domluva.</c:v>
                </c:pt>
                <c:pt idx="2">
                  <c:v>Ne, může to v konečném důsledku ohrozit celou ekonomiku.</c:v>
                </c:pt>
                <c:pt idx="3">
                  <c:v>Ne, stávající plošný odklad již stačil.</c:v>
                </c:pt>
                <c:pt idx="4">
                  <c:v>Ne, dluhy se mají platit a není dobré si zvykat na jejich neplacení</c:v>
                </c:pt>
                <c:pt idx="5">
                  <c:v>Ano, pomůže to dlužníkům.</c:v>
                </c:pt>
                <c:pt idx="6">
                  <c:v>Ano, pomůže to ekonomice.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0.01</c:v>
                </c:pt>
                <c:pt idx="1">
                  <c:v>0.23</c:v>
                </c:pt>
                <c:pt idx="2">
                  <c:v>0.04</c:v>
                </c:pt>
                <c:pt idx="3">
                  <c:v>0.08</c:v>
                </c:pt>
                <c:pt idx="4">
                  <c:v>0.31</c:v>
                </c:pt>
                <c:pt idx="5">
                  <c:v>0.26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C8B-42C2-9815-4ABC141E2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0.40319</cdr:x>
      <cdr:y>0.04848</cdr:y>
    </cdr:from>
    <cdr:to>
      <cdr:x>0.65207</cdr:x>
      <cdr:y>0.37576</cdr:y>
    </cdr:to>
    <cdr:sp macro="" textlink="">
      <cdr:nvSpPr>
        <cdr:cNvPr id="2" name="Zástupný symbol pro text 4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2613025" y="76200"/>
          <a:ext cx="1612900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91440" tIns="45720" rIns="91440" bIns="45720" rtlCol="0" anchor="ctr">
          <a:noAutofit/>
        </a:bodyPr>
        <a:lstStyle xmlns:a="http://schemas.openxmlformats.org/drawingml/2006/main"/>
        <a:p xmlns:a="http://schemas.openxmlformats.org/drawingml/2006/main">
          <a:pPr algn="just" hangingPunct="0"/>
          <a:r>
            <a:rPr lang="cs-CZ" sz="900" b="1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Máte hypotéku?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marL="457200" algn="just" hangingPunct="0"/>
          <a:r>
            <a:rPr lang="cs-CZ" sz="900" b="1" kern="1200">
              <a:solidFill>
                <a:srgbClr val="000000"/>
              </a:solidFill>
              <a:effectLst/>
              <a:latin typeface="Calibri Light" panose="020F03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just" hangingPunct="0"/>
          <a:r>
            <a:rPr lang="cs-CZ" sz="900" b="1">
              <a:effectLst/>
              <a:latin typeface="Arial" panose="020B060402020202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0.00937</cdr:x>
      <cdr:y>0.10405</cdr:y>
    </cdr:from>
    <cdr:to>
      <cdr:x>0.36003</cdr:x>
      <cdr:y>0.41618</cdr:y>
    </cdr:to>
    <cdr:sp macro="" textlink="">
      <cdr:nvSpPr>
        <cdr:cNvPr id="2" name="Zástupný symbol pro text 4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50820" y="171456"/>
          <a:ext cx="1901806" cy="5143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91440" tIns="45720" rIns="91440" bIns="45720" rtlCol="0" anchor="ctr">
          <a:noAutofit/>
        </a:bodyPr>
        <a:lstStyle xmlns:a="http://schemas.openxmlformats.org/drawingml/2006/main"/>
        <a:p xmlns:a="http://schemas.openxmlformats.org/drawingml/2006/main">
          <a:pPr algn="just" hangingPunct="0"/>
          <a:r>
            <a:rPr lang="cs-CZ" sz="900" b="1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Jak podle vás banka</a:t>
          </a:r>
          <a:r>
            <a:rPr lang="cs-CZ" sz="900" b="1" kern="1200" baseline="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posuzuje žadatele o hypotéku?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marL="457200" algn="just" hangingPunct="0"/>
          <a:r>
            <a:rPr lang="cs-CZ" sz="900" b="1" kern="1200">
              <a:solidFill>
                <a:srgbClr val="000000"/>
              </a:solidFill>
              <a:effectLst/>
              <a:latin typeface="Calibri Light" panose="020F03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just" hangingPunct="0"/>
          <a:r>
            <a:rPr lang="cs-CZ" sz="900" b="1">
              <a:effectLst/>
              <a:latin typeface="Arial" panose="020B060402020202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 </a:t>
          </a:r>
          <a:endParaRPr lang="cs-CZ" sz="9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0391-1318-48A5-826D-E3B7AA1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1202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109</cp:revision>
  <cp:lastPrinted>2020-02-25T16:32:00Z</cp:lastPrinted>
  <dcterms:created xsi:type="dcterms:W3CDTF">2020-02-24T09:30:00Z</dcterms:created>
  <dcterms:modified xsi:type="dcterms:W3CDTF">2020-10-21T07:03:00Z</dcterms:modified>
</cp:coreProperties>
</file>