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E2FA" w14:textId="37D2DEA2" w:rsidR="00786A57" w:rsidRDefault="00786A57" w:rsidP="00786A57">
      <w:pPr>
        <w:spacing w:after="0" w:line="276" w:lineRule="auto"/>
        <w:jc w:val="both"/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</w:pPr>
      <w:r w:rsidRPr="00786A57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České banky varují před podvodnými telefonáty a e</w:t>
      </w:r>
      <w:r w:rsidR="00C80713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-</w:t>
      </w:r>
      <w:r w:rsidRPr="00786A57"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  <w:t>maily, které ohrožují klienty</w:t>
      </w:r>
    </w:p>
    <w:p w14:paraId="339FCCB3" w14:textId="77777777" w:rsidR="00786A57" w:rsidRPr="00786A57" w:rsidRDefault="00786A57" w:rsidP="00786A57">
      <w:pPr>
        <w:spacing w:after="0" w:line="276" w:lineRule="auto"/>
        <w:jc w:val="both"/>
        <w:rPr>
          <w:rFonts w:ascii="Arial" w:eastAsia="Times New Roman" w:hAnsi="Arial" w:cs="Arial"/>
          <w:b/>
          <w:color w:val="007E79"/>
          <w:sz w:val="28"/>
          <w:szCs w:val="28"/>
          <w:lang w:eastAsia="cs-CZ"/>
        </w:rPr>
      </w:pPr>
    </w:p>
    <w:p w14:paraId="15C84424" w14:textId="5F049C22" w:rsidR="00786A57" w:rsidRDefault="00786A57" w:rsidP="00786A57">
      <w:pPr>
        <w:spacing w:after="0" w:line="276" w:lineRule="auto"/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Praha </w:t>
      </w:r>
      <w:r w:rsidR="000E431B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9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října</w:t>
      </w:r>
      <w:r w:rsidRPr="001630E6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– </w:t>
      </w: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Klienti českých bank se </w:t>
      </w:r>
      <w:r w:rsidR="00C8071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 posledních týdnech stávají</w:t>
      </w: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terčem útoků podvodníků, kteří se z nich snaží vylákat přihlašovací údaje do digitálního bankovnictví </w:t>
      </w:r>
      <w:r w:rsidR="00C8071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či</w:t>
      </w: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čísla jejich platebních karet. Česká bankovní asociace (ČBA) i samotné </w:t>
      </w:r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banky upozorňují, že p</w:t>
      </w: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řihlašovací údaje do bankovnictví, čísla platebních karet ani potvrzovací kódy z SMS zpráv žádná banky </w:t>
      </w:r>
      <w:r w:rsidR="00C80713"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po </w:t>
      </w:r>
      <w:r w:rsidR="00C80713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svých </w:t>
      </w:r>
      <w:r w:rsidR="00C80713"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klientech </w:t>
      </w: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nikdy</w:t>
      </w:r>
      <w:r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 xml:space="preserve"> nepožaduje.</w:t>
      </w:r>
    </w:p>
    <w:p w14:paraId="11A8C488" w14:textId="77777777" w:rsidR="00786A57" w:rsidRDefault="00786A57" w:rsidP="00786A57">
      <w:pPr>
        <w:spacing w:after="0" w:line="276" w:lineRule="auto"/>
        <w:jc w:val="both"/>
      </w:pPr>
    </w:p>
    <w:p w14:paraId="74593EC9" w14:textId="77777777" w:rsid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6A57">
        <w:rPr>
          <w:rFonts w:ascii="Arial" w:hAnsi="Arial" w:cs="Arial"/>
          <w:sz w:val="20"/>
          <w:szCs w:val="20"/>
        </w:rPr>
        <w:t xml:space="preserve">V posledních týdnech a měsících se klienti českých bank opět stávají terčem útoků podvodníků, kteří se z nich snaží vylákat přihlašovací údaje do digitálního bankovnictví případně čísla jejich platebních karet. Podvodníci se v profesionálně znějících telefonátech vydávají za pracovníky banky a klienty informují o tom, že byl napaden jejich bankovní účet a požadují po nich přihlašovací údaje do elektronického bankovnictví, aby bylo možné účet blokovat. </w:t>
      </w:r>
    </w:p>
    <w:p w14:paraId="4A1C6705" w14:textId="77777777" w:rsid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487E7E" w14:textId="287A2954" w:rsid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6A57">
        <w:rPr>
          <w:rFonts w:ascii="Arial" w:hAnsi="Arial" w:cs="Arial"/>
          <w:sz w:val="20"/>
          <w:szCs w:val="20"/>
        </w:rPr>
        <w:t xml:space="preserve">V dalších telefonátech zas podvodníci po klientech požadují čísla jejich platebních karet, která následně používají pro přihlášení do aplikací pro mobilní placení Apple </w:t>
      </w:r>
      <w:proofErr w:type="spellStart"/>
      <w:r w:rsidRPr="00786A57">
        <w:rPr>
          <w:rFonts w:ascii="Arial" w:hAnsi="Arial" w:cs="Arial"/>
          <w:sz w:val="20"/>
          <w:szCs w:val="20"/>
        </w:rPr>
        <w:t>Pay</w:t>
      </w:r>
      <w:proofErr w:type="spellEnd"/>
      <w:r w:rsidRPr="00786A57">
        <w:rPr>
          <w:rFonts w:ascii="Arial" w:hAnsi="Arial" w:cs="Arial"/>
          <w:sz w:val="20"/>
          <w:szCs w:val="20"/>
        </w:rPr>
        <w:t xml:space="preserve"> nebo Google </w:t>
      </w:r>
      <w:proofErr w:type="spellStart"/>
      <w:r w:rsidRPr="00786A57">
        <w:rPr>
          <w:rFonts w:ascii="Arial" w:hAnsi="Arial" w:cs="Arial"/>
          <w:sz w:val="20"/>
          <w:szCs w:val="20"/>
        </w:rPr>
        <w:t>Pay</w:t>
      </w:r>
      <w:proofErr w:type="spellEnd"/>
      <w:r w:rsidRPr="00786A57">
        <w:rPr>
          <w:rFonts w:ascii="Arial" w:hAnsi="Arial" w:cs="Arial"/>
          <w:sz w:val="20"/>
          <w:szCs w:val="20"/>
        </w:rPr>
        <w:t>, jimiž poté platí. Přihlašovací údaje do digitálního bankovnictví, respektive údaje z platebních karet, požadují podvodníci po klientech také v</w:t>
      </w:r>
      <w:r w:rsidR="00D43E84">
        <w:rPr>
          <w:rFonts w:ascii="Arial" w:hAnsi="Arial" w:cs="Arial"/>
          <w:sz w:val="20"/>
          <w:szCs w:val="20"/>
        </w:rPr>
        <w:t> </w:t>
      </w:r>
      <w:r w:rsidRPr="00786A57">
        <w:rPr>
          <w:rFonts w:ascii="Arial" w:hAnsi="Arial" w:cs="Arial"/>
          <w:sz w:val="20"/>
          <w:szCs w:val="20"/>
        </w:rPr>
        <w:t>e</w:t>
      </w:r>
      <w:r w:rsidR="00D43E84">
        <w:rPr>
          <w:rFonts w:ascii="Arial" w:hAnsi="Arial" w:cs="Arial"/>
          <w:sz w:val="20"/>
          <w:szCs w:val="20"/>
        </w:rPr>
        <w:t>-</w:t>
      </w:r>
      <w:r w:rsidRPr="00786A57">
        <w:rPr>
          <w:rFonts w:ascii="Arial" w:hAnsi="Arial" w:cs="Arial"/>
          <w:sz w:val="20"/>
          <w:szCs w:val="20"/>
        </w:rPr>
        <w:t>mailech a SMS zprávách, jež jsou takřka k nerozeznání od oficiální komunikace bank.</w:t>
      </w:r>
    </w:p>
    <w:p w14:paraId="12358E35" w14:textId="77777777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40BF0E" w14:textId="43F0777C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86A57">
        <w:rPr>
          <w:rFonts w:ascii="Arial" w:hAnsi="Arial" w:cs="Arial"/>
          <w:i/>
          <w:iCs/>
          <w:sz w:val="20"/>
          <w:szCs w:val="20"/>
        </w:rPr>
        <w:t xml:space="preserve">„Banky se kybernetické bezpečnosti kontinuálně věnují a investují do ní nemalé zdroje. Nicméně útočníci si jsou dobře vědomi, že nejslabším článkem jsou v oblasti bezpečnosti právě klienti. Proto neustále zkoušejí, zdali nenarazí na někoho méně pozorného a údaje, které by po něm banky nikdy nechtěla, jim předá,“ </w:t>
      </w:r>
      <w:r w:rsidRPr="00786A57">
        <w:rPr>
          <w:rFonts w:ascii="Arial" w:hAnsi="Arial" w:cs="Arial"/>
          <w:sz w:val="20"/>
          <w:szCs w:val="20"/>
        </w:rPr>
        <w:t>říká Tomáš Hládek, poradce ČBA pro platební styk a kyberbezpečnost.</w:t>
      </w:r>
    </w:p>
    <w:p w14:paraId="7438BD4E" w14:textId="77777777" w:rsid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69D00F" w14:textId="3CA1A73D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6A57">
        <w:rPr>
          <w:rFonts w:ascii="Arial" w:hAnsi="Arial" w:cs="Arial"/>
          <w:sz w:val="20"/>
          <w:szCs w:val="20"/>
        </w:rPr>
        <w:t>Banky kontinuálně varují své klienty:</w:t>
      </w:r>
      <w:r w:rsidRPr="00786A57">
        <w:rPr>
          <w:rFonts w:ascii="Arial" w:hAnsi="Arial" w:cs="Arial"/>
          <w:b/>
          <w:bCs/>
          <w:sz w:val="20"/>
          <w:szCs w:val="20"/>
        </w:rPr>
        <w:t xml:space="preserve"> Přihlašovací údaje do digitálního bankovnictví, čísla platebních karet ani potvrzovací kódy z SMS zpráv po klientech žádná banky nikdy nepožaduje </w:t>
      </w:r>
      <w:r w:rsidR="008E1973">
        <w:rPr>
          <w:rFonts w:ascii="Arial" w:hAnsi="Arial" w:cs="Arial"/>
          <w:b/>
          <w:bCs/>
          <w:sz w:val="20"/>
          <w:szCs w:val="20"/>
        </w:rPr>
        <w:t>p</w:t>
      </w:r>
      <w:r w:rsidRPr="00786A57">
        <w:rPr>
          <w:rFonts w:ascii="Arial" w:hAnsi="Arial" w:cs="Arial"/>
          <w:b/>
          <w:bCs/>
          <w:sz w:val="20"/>
          <w:szCs w:val="20"/>
        </w:rPr>
        <w:t>o telefonu, v emailu či SMS zprávě ani skrze sociální sítě</w:t>
      </w:r>
      <w:r w:rsidRPr="00786A57">
        <w:rPr>
          <w:rFonts w:ascii="Arial" w:hAnsi="Arial" w:cs="Arial"/>
          <w:sz w:val="20"/>
          <w:szCs w:val="20"/>
        </w:rPr>
        <w:t xml:space="preserve">. </w:t>
      </w:r>
      <w:r w:rsidRPr="00786A57">
        <w:rPr>
          <w:rFonts w:ascii="Arial" w:hAnsi="Arial" w:cs="Arial"/>
          <w:b/>
          <w:bCs/>
          <w:sz w:val="20"/>
          <w:szCs w:val="20"/>
        </w:rPr>
        <w:t>Každý požadavek tohoto typu je pokusem o podvod. Klienti by na něj neměli reagovat a měli by okamžitě informovat svou banku!</w:t>
      </w:r>
    </w:p>
    <w:p w14:paraId="4323E254" w14:textId="77777777" w:rsid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412746" w14:textId="3FC351BF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6A57">
        <w:rPr>
          <w:rFonts w:ascii="Arial" w:hAnsi="Arial" w:cs="Arial"/>
          <w:sz w:val="20"/>
          <w:szCs w:val="20"/>
        </w:rPr>
        <w:t>ČBA a samotné banky na klienty opakovaně apelují, aby dodržovali základní bezpečnostní zásady:</w:t>
      </w:r>
    </w:p>
    <w:p w14:paraId="5B881610" w14:textId="61A157A0" w:rsidR="00786A57" w:rsidRDefault="00683098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786A57" w:rsidRPr="00786A57">
          <w:rPr>
            <w:rStyle w:val="Hypertextovodkaz"/>
            <w:rFonts w:ascii="Arial" w:hAnsi="Arial" w:cs="Arial"/>
            <w:sz w:val="20"/>
            <w:szCs w:val="20"/>
          </w:rPr>
          <w:t>www.cbaonline.cz/desatero-bezpecnosti</w:t>
        </w:r>
      </w:hyperlink>
      <w:r w:rsidR="00786A57" w:rsidRPr="00786A57">
        <w:rPr>
          <w:rFonts w:ascii="Arial" w:hAnsi="Arial" w:cs="Arial"/>
          <w:sz w:val="20"/>
          <w:szCs w:val="20"/>
        </w:rPr>
        <w:t>  </w:t>
      </w:r>
    </w:p>
    <w:p w14:paraId="05AB6DFE" w14:textId="77777777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EC4BCA" w14:textId="77777777" w:rsidR="00786A57" w:rsidRDefault="00786A57" w:rsidP="00786A57">
      <w:pPr>
        <w:spacing w:after="0" w:line="276" w:lineRule="auto"/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</w:p>
    <w:p w14:paraId="7D26DE30" w14:textId="5E10A73A" w:rsidR="00786A57" w:rsidRPr="00786A57" w:rsidRDefault="00786A57" w:rsidP="00786A57">
      <w:pPr>
        <w:spacing w:after="120" w:line="276" w:lineRule="auto"/>
        <w:jc w:val="both"/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</w:pPr>
      <w:r w:rsidRPr="00786A57">
        <w:rPr>
          <w:rFonts w:ascii="Arial" w:eastAsia="Times New Roman" w:hAnsi="Arial" w:cs="Arial"/>
          <w:b/>
          <w:color w:val="007E79"/>
          <w:sz w:val="20"/>
          <w:szCs w:val="20"/>
          <w:lang w:eastAsia="cs-CZ"/>
        </w:rPr>
        <w:t>Vyjádření (citace) bank</w:t>
      </w:r>
    </w:p>
    <w:p w14:paraId="08314012" w14:textId="77777777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6A57">
        <w:rPr>
          <w:rFonts w:ascii="Arial" w:hAnsi="Arial" w:cs="Arial"/>
          <w:b/>
          <w:bCs/>
          <w:sz w:val="20"/>
          <w:szCs w:val="20"/>
        </w:rPr>
        <w:t xml:space="preserve">Pavel Šikola, </w:t>
      </w:r>
      <w:proofErr w:type="spellStart"/>
      <w:r w:rsidRPr="00786A57">
        <w:rPr>
          <w:rFonts w:ascii="Arial" w:hAnsi="Arial" w:cs="Arial"/>
          <w:b/>
          <w:bCs/>
          <w:sz w:val="20"/>
          <w:szCs w:val="20"/>
        </w:rPr>
        <w:t>Head</w:t>
      </w:r>
      <w:proofErr w:type="spellEnd"/>
      <w:r w:rsidRPr="00786A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86A57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86A57">
        <w:rPr>
          <w:rFonts w:ascii="Arial" w:hAnsi="Arial" w:cs="Arial"/>
          <w:b/>
          <w:bCs/>
          <w:sz w:val="20"/>
          <w:szCs w:val="20"/>
        </w:rPr>
        <w:t xml:space="preserve"> IS </w:t>
      </w:r>
      <w:proofErr w:type="spellStart"/>
      <w:r w:rsidRPr="00786A57">
        <w:rPr>
          <w:rFonts w:ascii="Arial" w:hAnsi="Arial" w:cs="Arial"/>
          <w:b/>
          <w:bCs/>
          <w:sz w:val="20"/>
          <w:szCs w:val="20"/>
        </w:rPr>
        <w:t>Security</w:t>
      </w:r>
      <w:proofErr w:type="spellEnd"/>
      <w:r w:rsidRPr="00786A57">
        <w:rPr>
          <w:rFonts w:ascii="Arial" w:hAnsi="Arial" w:cs="Arial"/>
          <w:b/>
          <w:bCs/>
          <w:sz w:val="20"/>
          <w:szCs w:val="20"/>
        </w:rPr>
        <w:t xml:space="preserve"> Department, </w:t>
      </w:r>
      <w:proofErr w:type="spellStart"/>
      <w:r w:rsidRPr="00786A57">
        <w:rPr>
          <w:rFonts w:ascii="Arial" w:hAnsi="Arial" w:cs="Arial"/>
          <w:b/>
          <w:bCs/>
          <w:sz w:val="20"/>
          <w:szCs w:val="20"/>
        </w:rPr>
        <w:t>Equa</w:t>
      </w:r>
      <w:proofErr w:type="spellEnd"/>
      <w:r w:rsidRPr="00786A57">
        <w:rPr>
          <w:rFonts w:ascii="Arial" w:hAnsi="Arial" w:cs="Arial"/>
          <w:b/>
          <w:bCs/>
          <w:sz w:val="20"/>
          <w:szCs w:val="20"/>
        </w:rPr>
        <w:t xml:space="preserve"> bank a.s.:</w:t>
      </w:r>
      <w:r w:rsidRPr="00786A57">
        <w:rPr>
          <w:rFonts w:ascii="Arial" w:hAnsi="Arial" w:cs="Arial"/>
          <w:sz w:val="20"/>
          <w:szCs w:val="20"/>
        </w:rPr>
        <w:t xml:space="preserve"> </w:t>
      </w:r>
      <w:r w:rsidRPr="00786A57">
        <w:rPr>
          <w:rFonts w:ascii="Arial" w:hAnsi="Arial" w:cs="Arial"/>
          <w:i/>
          <w:iCs/>
          <w:sz w:val="20"/>
          <w:szCs w:val="20"/>
        </w:rPr>
        <w:t>„Podle informací z trhu víme, že oproti dřívějším letům se úroveň útoků na klienty bank, a to jak prostřednictvím emailů, SMS zpráv, tak telefonátů, zvýšila. Použitá čeština je na slušné úrovni, byť textace stále obsahuje indikátory nečeského původu autora, např. občasné pravopisné a gramatické chyby. Nicméně toto je zastoupeno již v poměrně omezené míře v porovnání s útoky z minulých letech. Více je do komunikace také zapojeno sociální inženýrství – vybraná skupina klientů podle věku, naléhavé telefonáty v brzkých ranních či pozdních nočních hodinách, výhrůžky pokutami apod. Klientům proto opakovaně připomínáme, jak správně nakládat se svými citlivými údaji.“</w:t>
      </w:r>
    </w:p>
    <w:p w14:paraId="394EA984" w14:textId="77777777" w:rsidR="00786A57" w:rsidRDefault="00786A57" w:rsidP="00786A5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729C19" w14:textId="63511991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86A57">
        <w:rPr>
          <w:rFonts w:ascii="Arial" w:hAnsi="Arial" w:cs="Arial"/>
          <w:b/>
          <w:bCs/>
          <w:sz w:val="20"/>
          <w:szCs w:val="20"/>
        </w:rPr>
        <w:t xml:space="preserve">Filip Hrubý, tiskový mluvčí, Česká spořitelna: </w:t>
      </w:r>
      <w:r w:rsidRPr="00786A57">
        <w:rPr>
          <w:rFonts w:ascii="Arial" w:hAnsi="Arial" w:cs="Arial"/>
          <w:i/>
          <w:iCs/>
          <w:sz w:val="20"/>
          <w:szCs w:val="20"/>
        </w:rPr>
        <w:t>"Česká spořitelna aktuálně čelí vlně telefonátů, v nichž se podvodníci vydávají za naše pracovníky a požadují po klientech jejich přihlašovací údaje do digitálního bankovnictví a čísla platebních karet, aby mohli zablokovat účet klienta, který je vystaven údajnému útoku hackerů. Telefonáty znějí velmi profesionálně a podvodníci je často realizují uprostřed noci, aby zastihli klienty nepřipravené a zranitelné. Za poslední týden registrujeme několik set takových telefonátů."</w:t>
      </w:r>
    </w:p>
    <w:p w14:paraId="5F936503" w14:textId="77777777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86A57">
        <w:rPr>
          <w:rFonts w:ascii="Arial" w:hAnsi="Arial" w:cs="Arial"/>
          <w:b/>
          <w:bCs/>
          <w:sz w:val="20"/>
          <w:szCs w:val="20"/>
        </w:rPr>
        <w:lastRenderedPageBreak/>
        <w:t>Pavel Zúbek, tiskový mluvčí, Komerční banka:</w:t>
      </w:r>
      <w:r w:rsidRPr="00786A57">
        <w:rPr>
          <w:rFonts w:ascii="Arial" w:hAnsi="Arial" w:cs="Arial"/>
          <w:sz w:val="20"/>
          <w:szCs w:val="20"/>
        </w:rPr>
        <w:t xml:space="preserve"> </w:t>
      </w:r>
      <w:r w:rsidRPr="00786A57">
        <w:rPr>
          <w:rFonts w:ascii="Arial" w:hAnsi="Arial" w:cs="Arial"/>
          <w:i/>
          <w:iCs/>
          <w:sz w:val="20"/>
          <w:szCs w:val="20"/>
        </w:rPr>
        <w:t xml:space="preserve">„Zaznamenali jsme několik případů tzv. </w:t>
      </w:r>
      <w:proofErr w:type="spellStart"/>
      <w:r w:rsidRPr="00786A57">
        <w:rPr>
          <w:rFonts w:ascii="Arial" w:hAnsi="Arial" w:cs="Arial"/>
          <w:i/>
          <w:iCs/>
          <w:sz w:val="20"/>
          <w:szCs w:val="20"/>
        </w:rPr>
        <w:t>vishingu</w:t>
      </w:r>
      <w:proofErr w:type="spellEnd"/>
      <w:r w:rsidRPr="00786A57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786A57">
        <w:rPr>
          <w:rFonts w:ascii="Arial" w:hAnsi="Arial" w:cs="Arial"/>
          <w:i/>
          <w:iCs/>
          <w:sz w:val="20"/>
          <w:szCs w:val="20"/>
        </w:rPr>
        <w:t>voice</w:t>
      </w:r>
      <w:proofErr w:type="spellEnd"/>
      <w:r w:rsidRPr="00786A5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86A57">
        <w:rPr>
          <w:rFonts w:ascii="Arial" w:hAnsi="Arial" w:cs="Arial"/>
          <w:i/>
          <w:iCs/>
          <w:sz w:val="20"/>
          <w:szCs w:val="20"/>
        </w:rPr>
        <w:t>phishing</w:t>
      </w:r>
      <w:proofErr w:type="spellEnd"/>
      <w:r w:rsidRPr="00786A57">
        <w:rPr>
          <w:rFonts w:ascii="Arial" w:hAnsi="Arial" w:cs="Arial"/>
          <w:i/>
          <w:iCs/>
          <w:sz w:val="20"/>
          <w:szCs w:val="20"/>
        </w:rPr>
        <w:t>), kdy je klient Komerční banky převážně telefonicky kontaktován s informací, že došlo k napadení jeho účtu. Podvodník klientovi doporučí s odkazem na ochranu jeho prostředků, aby převedl prostředky na jiný účet. V některých případech chtějí podvodníci po klientech dokonce přístupové údaje k on-line bankovnictví. Komerční banka s klienty podobným způsobem nikdy nekomunikuje. Žádáme klienty, aby na podvodné telefonáty nereagovali.“</w:t>
      </w:r>
    </w:p>
    <w:p w14:paraId="34971A7A" w14:textId="77777777" w:rsidR="00786A57" w:rsidRPr="00786A57" w:rsidRDefault="00786A57" w:rsidP="00786A5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3DF93DD" w14:textId="386F58C4" w:rsidR="00786A57" w:rsidRPr="00C76868" w:rsidRDefault="00C76868" w:rsidP="00786A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76868">
        <w:rPr>
          <w:rFonts w:ascii="Arial" w:hAnsi="Arial" w:cs="Arial"/>
          <w:b/>
          <w:bCs/>
          <w:sz w:val="20"/>
          <w:szCs w:val="20"/>
        </w:rPr>
        <w:t>Markéta Šilhánov</w:t>
      </w:r>
      <w:r>
        <w:rPr>
          <w:rFonts w:ascii="Arial" w:hAnsi="Arial" w:cs="Arial"/>
          <w:b/>
          <w:bCs/>
          <w:sz w:val="20"/>
          <w:szCs w:val="20"/>
        </w:rPr>
        <w:t>á</w:t>
      </w:r>
      <w:r w:rsidRPr="00C7686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76868">
        <w:rPr>
          <w:rFonts w:ascii="Arial" w:hAnsi="Arial" w:cs="Arial"/>
          <w:b/>
          <w:bCs/>
          <w:sz w:val="20"/>
          <w:szCs w:val="20"/>
        </w:rPr>
        <w:t>Head</w:t>
      </w:r>
      <w:proofErr w:type="spellEnd"/>
      <w:r w:rsidRPr="00C7686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7686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7686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76868">
        <w:rPr>
          <w:rFonts w:ascii="Arial" w:hAnsi="Arial" w:cs="Arial"/>
          <w:b/>
          <w:bCs/>
          <w:sz w:val="20"/>
          <w:szCs w:val="20"/>
        </w:rPr>
        <w:t>Fraud</w:t>
      </w:r>
      <w:proofErr w:type="spellEnd"/>
      <w:r w:rsidRPr="00C76868">
        <w:rPr>
          <w:rFonts w:ascii="Arial" w:hAnsi="Arial" w:cs="Arial"/>
          <w:b/>
          <w:bCs/>
          <w:sz w:val="20"/>
          <w:szCs w:val="20"/>
        </w:rPr>
        <w:t xml:space="preserve"> Risk Management,</w:t>
      </w:r>
      <w:r>
        <w:rPr>
          <w:rFonts w:ascii="Arial" w:hAnsi="Arial" w:cs="Arial"/>
          <w:sz w:val="20"/>
          <w:szCs w:val="20"/>
        </w:rPr>
        <w:t xml:space="preserve"> </w:t>
      </w:r>
      <w:r w:rsidR="00786A57" w:rsidRPr="00786A57">
        <w:rPr>
          <w:rFonts w:ascii="Arial" w:hAnsi="Arial" w:cs="Arial"/>
          <w:b/>
          <w:bCs/>
          <w:sz w:val="20"/>
          <w:szCs w:val="20"/>
        </w:rPr>
        <w:t>Raiffeisenbank</w:t>
      </w:r>
      <w:r w:rsidR="00786A57" w:rsidRPr="00786A57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76868">
        <w:rPr>
          <w:rFonts w:ascii="Arial" w:hAnsi="Arial" w:cs="Arial"/>
          <w:i/>
          <w:iCs/>
          <w:sz w:val="20"/>
          <w:szCs w:val="20"/>
        </w:rPr>
        <w:t>„</w:t>
      </w:r>
      <w:proofErr w:type="spellStart"/>
      <w:r w:rsidRPr="00C76868">
        <w:rPr>
          <w:rFonts w:ascii="Arial" w:hAnsi="Arial" w:cs="Arial"/>
          <w:i/>
          <w:iCs/>
          <w:sz w:val="20"/>
          <w:szCs w:val="20"/>
        </w:rPr>
        <w:t>Phishingovým</w:t>
      </w:r>
      <w:proofErr w:type="spellEnd"/>
      <w:r w:rsidRPr="00C76868">
        <w:rPr>
          <w:rFonts w:ascii="Arial" w:hAnsi="Arial" w:cs="Arial"/>
          <w:i/>
          <w:iCs/>
          <w:sz w:val="20"/>
          <w:szCs w:val="20"/>
        </w:rPr>
        <w:t xml:space="preserve"> útokům přes e-maily čelíme skoro kontinuálně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76868">
        <w:rPr>
          <w:rFonts w:ascii="Arial" w:hAnsi="Arial" w:cs="Arial"/>
          <w:i/>
          <w:iCs/>
          <w:sz w:val="20"/>
          <w:szCs w:val="20"/>
        </w:rPr>
        <w:t xml:space="preserve">od začátku tohoto roku. To, co se v posledních dnes začíná objevovat nově, jsou sofistikované telefonáty (tzv. </w:t>
      </w:r>
      <w:proofErr w:type="spellStart"/>
      <w:r w:rsidRPr="00C76868">
        <w:rPr>
          <w:rFonts w:ascii="Arial" w:hAnsi="Arial" w:cs="Arial"/>
          <w:i/>
          <w:iCs/>
          <w:sz w:val="20"/>
          <w:szCs w:val="20"/>
        </w:rPr>
        <w:t>vishing</w:t>
      </w:r>
      <w:proofErr w:type="spellEnd"/>
      <w:r w:rsidRPr="00C76868">
        <w:rPr>
          <w:rFonts w:ascii="Arial" w:hAnsi="Arial" w:cs="Arial"/>
          <w:i/>
          <w:iCs/>
          <w:sz w:val="20"/>
          <w:szCs w:val="20"/>
        </w:rPr>
        <w:t xml:space="preserve">), které formou sociálního inženýrství tahají z klientů citlivé informace, které následně zneužijí. My zatím evidujeme </w:t>
      </w:r>
      <w:r>
        <w:rPr>
          <w:rFonts w:ascii="Arial" w:hAnsi="Arial" w:cs="Arial"/>
          <w:i/>
          <w:iCs/>
          <w:sz w:val="20"/>
          <w:szCs w:val="20"/>
        </w:rPr>
        <w:t>dva</w:t>
      </w:r>
      <w:r w:rsidRPr="00C76868">
        <w:rPr>
          <w:rFonts w:ascii="Arial" w:hAnsi="Arial" w:cs="Arial"/>
          <w:i/>
          <w:iCs/>
          <w:sz w:val="20"/>
          <w:szCs w:val="20"/>
        </w:rPr>
        <w:t xml:space="preserve"> tyto případy."</w:t>
      </w:r>
    </w:p>
    <w:p w14:paraId="53383B15" w14:textId="77777777" w:rsidR="00786A57" w:rsidRDefault="00786A57" w:rsidP="00786A57">
      <w:pPr>
        <w:spacing w:after="0" w:line="276" w:lineRule="auto"/>
        <w:jc w:val="both"/>
      </w:pPr>
    </w:p>
    <w:p w14:paraId="2F3F7E81" w14:textId="77777777" w:rsidR="00786A57" w:rsidRDefault="00786A57" w:rsidP="00786A57">
      <w:pPr>
        <w:spacing w:after="0" w:line="276" w:lineRule="auto"/>
        <w:jc w:val="both"/>
      </w:pPr>
    </w:p>
    <w:p w14:paraId="2113EAE0" w14:textId="158EC623" w:rsidR="00786A57" w:rsidRDefault="000E431B" w:rsidP="00786A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AF770" wp14:editId="3C1138AF">
                <wp:simplePos x="0" y="0"/>
                <wp:positionH relativeFrom="margin">
                  <wp:posOffset>4345940</wp:posOffset>
                </wp:positionH>
                <wp:positionV relativeFrom="paragraph">
                  <wp:posOffset>5380355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20D27" w14:textId="77777777" w:rsidR="00786A57" w:rsidRPr="000E431B" w:rsidRDefault="00786A57" w:rsidP="00786A57">
                            <w:pPr>
                              <w:spacing w:line="276" w:lineRule="auto"/>
                              <w:ind w:left="28" w:hanging="28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75FF8D19" w14:textId="77777777" w:rsidR="00786A57" w:rsidRPr="000E431B" w:rsidRDefault="00786A57" w:rsidP="00786A57">
                            <w:pPr>
                              <w:spacing w:line="276" w:lineRule="auto"/>
                              <w:ind w:left="28" w:hanging="28"/>
                              <w:contextualSpacing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67D4E2B4" w14:textId="77777777" w:rsidR="00786A57" w:rsidRPr="000E431B" w:rsidRDefault="00786A57" w:rsidP="00786A57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D09FF82" w14:textId="77777777" w:rsidR="00786A57" w:rsidRPr="000E431B" w:rsidRDefault="00786A57" w:rsidP="00786A57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339C228D" w14:textId="77777777" w:rsidR="00786A57" w:rsidRPr="000E431B" w:rsidRDefault="00786A57" w:rsidP="00786A57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0E431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0E431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7E64CAC" w14:textId="77777777" w:rsidR="00786A57" w:rsidRPr="000E431B" w:rsidRDefault="00786A57" w:rsidP="00786A57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291826F8" w14:textId="77777777" w:rsidR="00786A57" w:rsidRPr="000E431B" w:rsidRDefault="00786A57" w:rsidP="00786A57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431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1E9BD2AF" w14:textId="77777777" w:rsidR="00786A57" w:rsidRPr="000E431B" w:rsidRDefault="00786A57" w:rsidP="00786A57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F770" id="Obdélník 200" o:spid="_x0000_s1026" style="position:absolute;left:0;text-align:left;margin-left:342.2pt;margin-top:423.65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79420D27" w14:textId="77777777" w:rsidR="00786A57" w:rsidRPr="000E431B" w:rsidRDefault="00786A57" w:rsidP="00786A57">
                      <w:pPr>
                        <w:spacing w:line="276" w:lineRule="auto"/>
                        <w:ind w:left="28" w:hanging="28"/>
                        <w:contextualSpacing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75FF8D19" w14:textId="77777777" w:rsidR="00786A57" w:rsidRPr="000E431B" w:rsidRDefault="00786A57" w:rsidP="00786A57">
                      <w:pPr>
                        <w:spacing w:line="276" w:lineRule="auto"/>
                        <w:ind w:left="28" w:hanging="28"/>
                        <w:contextualSpacing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67D4E2B4" w14:textId="77777777" w:rsidR="00786A57" w:rsidRPr="000E431B" w:rsidRDefault="00786A57" w:rsidP="00786A57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D09FF82" w14:textId="77777777" w:rsidR="00786A57" w:rsidRPr="000E431B" w:rsidRDefault="00786A57" w:rsidP="00786A57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339C228D" w14:textId="77777777" w:rsidR="00786A57" w:rsidRPr="000E431B" w:rsidRDefault="00786A57" w:rsidP="00786A57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0E431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0E431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07E64CAC" w14:textId="77777777" w:rsidR="00786A57" w:rsidRPr="000E431B" w:rsidRDefault="00786A57" w:rsidP="00786A57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291826F8" w14:textId="77777777" w:rsidR="00786A57" w:rsidRPr="000E431B" w:rsidRDefault="00786A57" w:rsidP="00786A57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431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1E9BD2AF" w14:textId="77777777" w:rsidR="00786A57" w:rsidRPr="000E431B" w:rsidRDefault="00786A57" w:rsidP="00786A57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531B" wp14:editId="09D78774">
                <wp:simplePos x="0" y="0"/>
                <wp:positionH relativeFrom="margin">
                  <wp:posOffset>-76200</wp:posOffset>
                </wp:positionH>
                <wp:positionV relativeFrom="paragraph">
                  <wp:posOffset>5385435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9130D" w14:textId="77777777" w:rsidR="00786A57" w:rsidRPr="00CD2579" w:rsidRDefault="00786A57" w:rsidP="00786A5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45DCB62F" w14:textId="77777777" w:rsidR="00786A57" w:rsidRPr="00CD2579" w:rsidRDefault="00786A57" w:rsidP="00786A5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531B" id="Obdélník 199" o:spid="_x0000_s1027" style="position:absolute;left:0;text-align:left;margin-left:-6pt;margin-top:424.05pt;width:340.3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" fillcolor="#bfbfbf [2412]" stroked="f" strokeweight="1pt">
                <v:textbox inset="3mm,3mm,3mm,3mm">
                  <w:txbxContent>
                    <w:p w14:paraId="3E79130D" w14:textId="77777777" w:rsidR="00786A57" w:rsidRPr="00CD2579" w:rsidRDefault="00786A57" w:rsidP="00786A57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45DCB62F" w14:textId="77777777" w:rsidR="00786A57" w:rsidRPr="00CD2579" w:rsidRDefault="00786A57" w:rsidP="00786A57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6A57" w:rsidSect="00874C0C">
      <w:headerReference w:type="default" r:id="rId8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04DE" w14:textId="77777777" w:rsidR="00683098" w:rsidRDefault="00683098" w:rsidP="00874C0C">
      <w:pPr>
        <w:spacing w:after="0" w:line="240" w:lineRule="auto"/>
      </w:pPr>
      <w:r>
        <w:separator/>
      </w:r>
    </w:p>
  </w:endnote>
  <w:endnote w:type="continuationSeparator" w:id="0">
    <w:p w14:paraId="5DF1A89D" w14:textId="77777777" w:rsidR="00683098" w:rsidRDefault="00683098" w:rsidP="008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30D4" w14:textId="77777777" w:rsidR="00683098" w:rsidRDefault="00683098" w:rsidP="00874C0C">
      <w:pPr>
        <w:spacing w:after="0" w:line="240" w:lineRule="auto"/>
      </w:pPr>
      <w:r>
        <w:separator/>
      </w:r>
    </w:p>
  </w:footnote>
  <w:footnote w:type="continuationSeparator" w:id="0">
    <w:p w14:paraId="5ACEE1C0" w14:textId="77777777" w:rsidR="00683098" w:rsidRDefault="00683098" w:rsidP="008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54AE" w14:textId="580E9703" w:rsidR="00874C0C" w:rsidRDefault="00874C0C" w:rsidP="00874C0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C5E8B" wp14:editId="279AFA0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A3198" w14:textId="42C4381D" w:rsidR="00874C0C" w:rsidRDefault="00874C0C">
    <w:pPr>
      <w:pStyle w:val="Zhlav"/>
    </w:pPr>
    <w:r w:rsidRPr="00BF1B43">
      <w:rPr>
        <w:rFonts w:cs="Arial"/>
        <w:b/>
        <w:bCs/>
        <w:noProof/>
        <w:color w:val="007E79"/>
        <w:sz w:val="28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21D62D" wp14:editId="1DF154D9">
              <wp:simplePos x="0" y="0"/>
              <wp:positionH relativeFrom="margin">
                <wp:posOffset>5133975</wp:posOffset>
              </wp:positionH>
              <wp:positionV relativeFrom="paragraph">
                <wp:posOffset>83820</wp:posOffset>
              </wp:positionV>
              <wp:extent cx="1344295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8D45D" w14:textId="587C3B04" w:rsidR="00874C0C" w:rsidRPr="00AE47D8" w:rsidRDefault="00874C0C" w:rsidP="00AE47D8">
                          <w:pPr>
                            <w:spacing w:line="276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 w:rsidRPr="00AE47D8"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  <w:t>TISKOVÁ ZPRÁVA</w:t>
                          </w:r>
                        </w:p>
                        <w:p w14:paraId="30F0DC99" w14:textId="1BFBFFD5" w:rsidR="00AE47D8" w:rsidRPr="00AE47D8" w:rsidRDefault="000E431B" w:rsidP="00AE47D8">
                          <w:pPr>
                            <w:spacing w:line="276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9</w:t>
                          </w:r>
                          <w:r w:rsidR="00AE47D8" w:rsidRPr="00AE47D8">
                            <w:rPr>
                              <w:rFonts w:ascii="Arial" w:hAnsi="Arial" w:cs="Arial"/>
                              <w:color w:val="BFBFBF" w:themeColor="background1" w:themeShade="BF"/>
                              <w:sz w:val="18"/>
                              <w:szCs w:val="18"/>
                            </w:rPr>
                            <w:t>. 10.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1D6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404.25pt;margin-top:6.6pt;width:10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" filled="f" stroked="f">
              <v:textbox style="mso-fit-shape-to-text:t">
                <w:txbxContent>
                  <w:p w14:paraId="3C98D45D" w14:textId="587C3B04" w:rsidR="00874C0C" w:rsidRPr="00AE47D8" w:rsidRDefault="00874C0C" w:rsidP="00AE47D8">
                    <w:pPr>
                      <w:spacing w:line="276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</w:pPr>
                    <w:r w:rsidRPr="00AE47D8"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  <w:t>TISKOVÁ ZPRÁVA</w:t>
                    </w:r>
                  </w:p>
                  <w:p w14:paraId="30F0DC99" w14:textId="1BFBFFD5" w:rsidR="00AE47D8" w:rsidRPr="00AE47D8" w:rsidRDefault="000E431B" w:rsidP="00AE47D8">
                    <w:pPr>
                      <w:spacing w:line="276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olor w:val="13576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9</w:t>
                    </w:r>
                    <w:r w:rsidR="00AE47D8" w:rsidRPr="00AE47D8">
                      <w:rPr>
                        <w:rFonts w:ascii="Arial" w:hAnsi="Arial" w:cs="Arial"/>
                        <w:color w:val="BFBFBF" w:themeColor="background1" w:themeShade="BF"/>
                        <w:sz w:val="18"/>
                        <w:szCs w:val="18"/>
                      </w:rPr>
                      <w:t>. 10.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7A7"/>
    <w:multiLevelType w:val="hybridMultilevel"/>
    <w:tmpl w:val="6B2A8E4E"/>
    <w:lvl w:ilvl="0" w:tplc="EB12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6E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9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E6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4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68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0F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A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62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AE4739"/>
    <w:multiLevelType w:val="hybridMultilevel"/>
    <w:tmpl w:val="2EE6979E"/>
    <w:lvl w:ilvl="0" w:tplc="1B5A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A3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1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E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60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46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C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4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E30303"/>
    <w:multiLevelType w:val="hybridMultilevel"/>
    <w:tmpl w:val="9252BA0C"/>
    <w:lvl w:ilvl="0" w:tplc="FE12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33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E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E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C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4C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E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0F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AF5F62"/>
    <w:multiLevelType w:val="hybridMultilevel"/>
    <w:tmpl w:val="8FA8BF68"/>
    <w:lvl w:ilvl="0" w:tplc="75B06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C"/>
    <w:rsid w:val="00076E4C"/>
    <w:rsid w:val="000A08AE"/>
    <w:rsid w:val="000E431B"/>
    <w:rsid w:val="001000F7"/>
    <w:rsid w:val="001630E6"/>
    <w:rsid w:val="001677CF"/>
    <w:rsid w:val="001A76AC"/>
    <w:rsid w:val="001F5D93"/>
    <w:rsid w:val="001F6E6E"/>
    <w:rsid w:val="0020724A"/>
    <w:rsid w:val="00215E2D"/>
    <w:rsid w:val="00255791"/>
    <w:rsid w:val="00261E72"/>
    <w:rsid w:val="0028187F"/>
    <w:rsid w:val="00291C30"/>
    <w:rsid w:val="002D3A95"/>
    <w:rsid w:val="003040A5"/>
    <w:rsid w:val="00321123"/>
    <w:rsid w:val="0033049C"/>
    <w:rsid w:val="00382765"/>
    <w:rsid w:val="00384883"/>
    <w:rsid w:val="00390F10"/>
    <w:rsid w:val="003A795D"/>
    <w:rsid w:val="003C3279"/>
    <w:rsid w:val="003E0420"/>
    <w:rsid w:val="00432B38"/>
    <w:rsid w:val="00436D57"/>
    <w:rsid w:val="00446D2C"/>
    <w:rsid w:val="004854C3"/>
    <w:rsid w:val="00491BD4"/>
    <w:rsid w:val="00506B4C"/>
    <w:rsid w:val="00525B71"/>
    <w:rsid w:val="005930CA"/>
    <w:rsid w:val="005C0765"/>
    <w:rsid w:val="005F6BC5"/>
    <w:rsid w:val="00683098"/>
    <w:rsid w:val="006A547A"/>
    <w:rsid w:val="006C38D1"/>
    <w:rsid w:val="006C3C0C"/>
    <w:rsid w:val="0070099B"/>
    <w:rsid w:val="007120BB"/>
    <w:rsid w:val="00716F8E"/>
    <w:rsid w:val="00740476"/>
    <w:rsid w:val="00766962"/>
    <w:rsid w:val="00786A57"/>
    <w:rsid w:val="007B4B4E"/>
    <w:rsid w:val="007E0BA0"/>
    <w:rsid w:val="007F1D6E"/>
    <w:rsid w:val="00874C0C"/>
    <w:rsid w:val="008E1973"/>
    <w:rsid w:val="008E4CF7"/>
    <w:rsid w:val="00997A84"/>
    <w:rsid w:val="009C0AEA"/>
    <w:rsid w:val="009E3800"/>
    <w:rsid w:val="009E4D5C"/>
    <w:rsid w:val="00A07619"/>
    <w:rsid w:val="00A50586"/>
    <w:rsid w:val="00A57F80"/>
    <w:rsid w:val="00AE47D8"/>
    <w:rsid w:val="00B00061"/>
    <w:rsid w:val="00B2312F"/>
    <w:rsid w:val="00B51378"/>
    <w:rsid w:val="00B82AD6"/>
    <w:rsid w:val="00BA13FF"/>
    <w:rsid w:val="00BE4DE6"/>
    <w:rsid w:val="00C0641C"/>
    <w:rsid w:val="00C13CF9"/>
    <w:rsid w:val="00C76868"/>
    <w:rsid w:val="00C80713"/>
    <w:rsid w:val="00C81F41"/>
    <w:rsid w:val="00C846C4"/>
    <w:rsid w:val="00D17A00"/>
    <w:rsid w:val="00D307CA"/>
    <w:rsid w:val="00D43E84"/>
    <w:rsid w:val="00D46A67"/>
    <w:rsid w:val="00DC71B9"/>
    <w:rsid w:val="00DF7368"/>
    <w:rsid w:val="00E139D0"/>
    <w:rsid w:val="00E429DF"/>
    <w:rsid w:val="00EF1F8D"/>
    <w:rsid w:val="00EF595C"/>
    <w:rsid w:val="00F27E9F"/>
    <w:rsid w:val="00F7598E"/>
    <w:rsid w:val="00F9382E"/>
    <w:rsid w:val="00FC10F5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3536"/>
  <w15:chartTrackingRefBased/>
  <w15:docId w15:val="{1565E020-CAA1-4D22-ACE4-69338D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6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C0C"/>
  </w:style>
  <w:style w:type="paragraph" w:styleId="Zpat">
    <w:name w:val="footer"/>
    <w:basedOn w:val="Normln"/>
    <w:link w:val="ZpatChar"/>
    <w:uiPriority w:val="99"/>
    <w:unhideWhenUsed/>
    <w:rsid w:val="0087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C0C"/>
  </w:style>
  <w:style w:type="character" w:styleId="Hypertextovodkaz">
    <w:name w:val="Hyperlink"/>
    <w:basedOn w:val="Standardnpsmoodstavce"/>
    <w:uiPriority w:val="99"/>
    <w:semiHidden/>
    <w:unhideWhenUsed/>
    <w:rsid w:val="002D3A95"/>
    <w:rPr>
      <w:color w:val="0000FF"/>
      <w:u w:val="single"/>
    </w:rPr>
  </w:style>
  <w:style w:type="paragraph" w:customStyle="1" w:styleId="Standard">
    <w:name w:val="Standard"/>
    <w:rsid w:val="00AE47D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5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8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aonline.cz/desatero-bezpec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Trudičová</dc:creator>
  <cp:keywords/>
  <dc:description/>
  <cp:lastModifiedBy>Andrea Trudičová</cp:lastModifiedBy>
  <cp:revision>50</cp:revision>
  <dcterms:created xsi:type="dcterms:W3CDTF">2020-08-25T14:15:00Z</dcterms:created>
  <dcterms:modified xsi:type="dcterms:W3CDTF">2020-10-09T08:04:00Z</dcterms:modified>
</cp:coreProperties>
</file>