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F8281" w14:textId="2A5A6870" w:rsidR="007B7C9E" w:rsidRDefault="00BF6F8D" w:rsidP="007B7C9E">
      <w:pPr>
        <w:spacing w:after="120" w:line="276" w:lineRule="auto"/>
        <w:contextualSpacing/>
        <w:rPr>
          <w:rFonts w:cs="Arial"/>
          <w:b/>
          <w:color w:val="007E79"/>
          <w:sz w:val="20"/>
        </w:rPr>
      </w:pPr>
      <w:r w:rsidRPr="007B7C9E">
        <w:rPr>
          <w:rFonts w:cs="Arial"/>
          <w:noProof/>
          <w:sz w:val="20"/>
          <w:szCs w:val="22"/>
        </w:rPr>
        <mc:AlternateContent>
          <mc:Choice Requires="wps">
            <w:drawing>
              <wp:anchor distT="45720" distB="45720" distL="114300" distR="114300" simplePos="0" relativeHeight="251694080" behindDoc="0" locked="0" layoutInCell="1" allowOverlap="1" wp14:anchorId="3DA8C9ED" wp14:editId="1B1FB650">
                <wp:simplePos x="0" y="0"/>
                <wp:positionH relativeFrom="margin">
                  <wp:posOffset>5250180</wp:posOffset>
                </wp:positionH>
                <wp:positionV relativeFrom="paragraph">
                  <wp:posOffset>-846455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587FF672" w14:textId="4DE3649A" w:rsidR="00BF6F8D" w:rsidRDefault="00BF6F8D" w:rsidP="00BF6F8D">
                            <w:pPr>
                              <w:spacing w:line="276" w:lineRule="auto"/>
                              <w:jc w:val="right"/>
                              <w:rPr>
                                <w:b/>
                                <w:color w:val="13576B"/>
                              </w:rPr>
                            </w:pPr>
                            <w:r>
                              <w:rPr>
                                <w:b/>
                                <w:color w:val="13576B"/>
                              </w:rPr>
                              <w:t>KOMENTÁŘ</w:t>
                            </w:r>
                          </w:p>
                          <w:p w14:paraId="401E4EC1" w14:textId="149E19DF" w:rsidR="00BF6F8D" w:rsidRPr="00517111" w:rsidRDefault="004821B3" w:rsidP="004821B3">
                            <w:pPr>
                              <w:spacing w:line="276" w:lineRule="auto"/>
                              <w:jc w:val="center"/>
                              <w:rPr>
                                <w:b/>
                                <w:color w:val="13576B"/>
                              </w:rPr>
                            </w:pPr>
                            <w:r>
                              <w:rPr>
                                <w:color w:val="BFBFBF" w:themeColor="background1" w:themeShade="BF"/>
                              </w:rPr>
                              <w:t xml:space="preserve">           </w:t>
                            </w:r>
                            <w:r w:rsidR="00805D3A">
                              <w:rPr>
                                <w:color w:val="BFBFBF" w:themeColor="background1" w:themeShade="BF"/>
                              </w:rPr>
                              <w:t>3</w:t>
                            </w:r>
                            <w:r>
                              <w:rPr>
                                <w:color w:val="BFBFBF" w:themeColor="background1" w:themeShade="BF"/>
                              </w:rPr>
                              <w:t>0.9.</w:t>
                            </w:r>
                            <w:r w:rsidR="00BF6F8D" w:rsidRPr="00517111">
                              <w:rPr>
                                <w:color w:val="BFBFBF" w:themeColor="background1" w:themeShade="BF"/>
                              </w:rPr>
                              <w:t>20</w:t>
                            </w:r>
                            <w:r w:rsidR="00BF6F8D">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8C9ED" id="_x0000_t202" coordsize="21600,21600" o:spt="202" path="m,l,21600r21600,l21600,xe">
                <v:stroke joinstyle="miter"/>
                <v:path gradientshapeok="t" o:connecttype="rect"/>
              </v:shapetype>
              <v:shape id="Textové pole 2" o:spid="_x0000_s1026" type="#_x0000_t202" style="position:absolute;left:0;text-align:left;margin-left:413.4pt;margin-top:-66.65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" filled="f" stroked="f">
                <v:textbox style="mso-fit-shape-to-text:t">
                  <w:txbxContent>
                    <w:p w14:paraId="587FF672" w14:textId="4DE3649A" w:rsidR="00BF6F8D" w:rsidRDefault="00BF6F8D" w:rsidP="00BF6F8D">
                      <w:pPr>
                        <w:spacing w:line="276" w:lineRule="auto"/>
                        <w:jc w:val="right"/>
                        <w:rPr>
                          <w:b/>
                          <w:color w:val="13576B"/>
                        </w:rPr>
                      </w:pPr>
                      <w:r>
                        <w:rPr>
                          <w:b/>
                          <w:color w:val="13576B"/>
                        </w:rPr>
                        <w:t>KOMENTÁŘ</w:t>
                      </w:r>
                    </w:p>
                    <w:p w14:paraId="401E4EC1" w14:textId="149E19DF" w:rsidR="00BF6F8D" w:rsidRPr="00517111" w:rsidRDefault="004821B3" w:rsidP="004821B3">
                      <w:pPr>
                        <w:spacing w:line="276" w:lineRule="auto"/>
                        <w:jc w:val="center"/>
                        <w:rPr>
                          <w:b/>
                          <w:color w:val="13576B"/>
                        </w:rPr>
                      </w:pPr>
                      <w:r>
                        <w:rPr>
                          <w:color w:val="BFBFBF" w:themeColor="background1" w:themeShade="BF"/>
                        </w:rPr>
                        <w:t xml:space="preserve">           </w:t>
                      </w:r>
                      <w:r w:rsidR="00805D3A">
                        <w:rPr>
                          <w:color w:val="BFBFBF" w:themeColor="background1" w:themeShade="BF"/>
                        </w:rPr>
                        <w:t>3</w:t>
                      </w:r>
                      <w:r>
                        <w:rPr>
                          <w:color w:val="BFBFBF" w:themeColor="background1" w:themeShade="BF"/>
                        </w:rPr>
                        <w:t>0.9.</w:t>
                      </w:r>
                      <w:r w:rsidR="00BF6F8D" w:rsidRPr="00517111">
                        <w:rPr>
                          <w:color w:val="BFBFBF" w:themeColor="background1" w:themeShade="BF"/>
                        </w:rPr>
                        <w:t>20</w:t>
                      </w:r>
                      <w:r w:rsidR="00BF6F8D">
                        <w:rPr>
                          <w:color w:val="BFBFBF" w:themeColor="background1" w:themeShade="BF"/>
                        </w:rPr>
                        <w:t>20</w:t>
                      </w:r>
                    </w:p>
                  </w:txbxContent>
                </v:textbox>
                <w10:wrap anchorx="margin"/>
              </v:shape>
            </w:pict>
          </mc:Fallback>
        </mc:AlternateContent>
      </w:r>
      <w:r w:rsidR="00805D3A" w:rsidRPr="007B7C9E">
        <w:rPr>
          <w:rFonts w:cs="Arial"/>
          <w:b/>
          <w:color w:val="007E79"/>
          <w:sz w:val="32"/>
          <w:szCs w:val="32"/>
        </w:rPr>
        <w:t xml:space="preserve">STATISTIKA </w:t>
      </w:r>
      <w:r w:rsidR="00805D3A" w:rsidRPr="008F35E0">
        <w:rPr>
          <w:rFonts w:cs="Arial"/>
          <w:b/>
          <w:color w:val="007E79"/>
          <w:sz w:val="32"/>
          <w:szCs w:val="32"/>
        </w:rPr>
        <w:t>FINANCOVÁNÍ</w:t>
      </w:r>
      <w:r w:rsidR="00805D3A" w:rsidRPr="007B7C9E">
        <w:rPr>
          <w:rFonts w:cs="Arial"/>
          <w:b/>
          <w:color w:val="007E79"/>
          <w:sz w:val="32"/>
          <w:szCs w:val="32"/>
        </w:rPr>
        <w:t xml:space="preserve"> BYDLENÍ České bankovní asociace</w:t>
      </w:r>
      <w:r w:rsidR="007B7C9E" w:rsidRPr="007B7C9E">
        <w:rPr>
          <w:rFonts w:cs="Arial"/>
          <w:b/>
          <w:color w:val="007E79"/>
          <w:sz w:val="20"/>
        </w:rPr>
        <w:t xml:space="preserve"> </w:t>
      </w:r>
    </w:p>
    <w:p w14:paraId="19056F3F" w14:textId="32653C16" w:rsidR="007B7C9E" w:rsidRPr="008F35E0" w:rsidRDefault="004821B3" w:rsidP="007B7C9E">
      <w:pPr>
        <w:spacing w:line="276" w:lineRule="auto"/>
        <w:rPr>
          <w:rFonts w:cs="Arial"/>
          <w:b/>
          <w:color w:val="007E79"/>
          <w:sz w:val="28"/>
          <w:szCs w:val="28"/>
        </w:rPr>
      </w:pPr>
      <w:r>
        <w:rPr>
          <w:rFonts w:cs="Arial"/>
          <w:bCs/>
          <w:color w:val="007E79"/>
          <w:sz w:val="24"/>
          <w:szCs w:val="24"/>
        </w:rPr>
        <w:t>Srpen</w:t>
      </w:r>
      <w:r w:rsidR="007B7C9E" w:rsidRPr="008F35E0">
        <w:rPr>
          <w:rFonts w:cs="Arial"/>
          <w:bCs/>
          <w:color w:val="007E79"/>
          <w:sz w:val="24"/>
          <w:szCs w:val="24"/>
        </w:rPr>
        <w:t xml:space="preserve"> 2020: </w:t>
      </w:r>
      <w:r w:rsidR="00A327CE">
        <w:rPr>
          <w:bCs/>
          <w:color w:val="007E79"/>
          <w:sz w:val="24"/>
          <w:szCs w:val="24"/>
        </w:rPr>
        <w:t xml:space="preserve">Co červenec neuvaří – srpen nedopeče. </w:t>
      </w:r>
      <w:r>
        <w:rPr>
          <w:bCs/>
          <w:color w:val="007E79"/>
          <w:sz w:val="24"/>
          <w:szCs w:val="24"/>
        </w:rPr>
        <w:t>Platilo i pro hypoteční trh!</w:t>
      </w:r>
    </w:p>
    <w:p w14:paraId="43A43244" w14:textId="779C68B4" w:rsidR="00805D3A" w:rsidRDefault="0014354F" w:rsidP="00BD483C">
      <w:pPr>
        <w:spacing w:after="120" w:line="276" w:lineRule="auto"/>
        <w:contextualSpacing/>
        <w:rPr>
          <w:rFonts w:cs="Arial"/>
          <w:b/>
          <w:color w:val="007E79"/>
          <w:sz w:val="28"/>
          <w:szCs w:val="28"/>
        </w:rPr>
      </w:pPr>
      <w:r>
        <w:rPr>
          <w:rFonts w:eastAsiaTheme="minorEastAsia" w:cs="Arial"/>
          <w:noProof/>
          <w:sz w:val="16"/>
          <w:szCs w:val="18"/>
        </w:rPr>
        <mc:AlternateContent>
          <mc:Choice Requires="wps">
            <w:drawing>
              <wp:anchor distT="0" distB="0" distL="114300" distR="114300" simplePos="0" relativeHeight="251696128" behindDoc="0" locked="0" layoutInCell="1" allowOverlap="1" wp14:anchorId="2EA7FD39" wp14:editId="47AFEE5D">
                <wp:simplePos x="0" y="0"/>
                <wp:positionH relativeFrom="margin">
                  <wp:align>right</wp:align>
                </wp:positionH>
                <wp:positionV relativeFrom="paragraph">
                  <wp:posOffset>169821</wp:posOffset>
                </wp:positionV>
                <wp:extent cx="6467475" cy="3562184"/>
                <wp:effectExtent l="0" t="0" r="0" b="635"/>
                <wp:wrapNone/>
                <wp:docPr id="1"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3562184"/>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8A0ED60" w14:textId="1AB0FA95" w:rsidR="00805D3A" w:rsidRPr="00805D3A" w:rsidRDefault="00805D3A" w:rsidP="00805D3A">
                            <w:pPr>
                              <w:spacing w:line="276" w:lineRule="auto"/>
                              <w:ind w:left="28" w:hanging="28"/>
                              <w:jc w:val="left"/>
                              <w:outlineLvl w:val="0"/>
                              <w:rPr>
                                <w:rFonts w:cs="Arial"/>
                                <w:b/>
                                <w:color w:val="FFFFFF" w:themeColor="background1"/>
                                <w:sz w:val="20"/>
                                <w:szCs w:val="18"/>
                              </w:rPr>
                            </w:pPr>
                            <w:r w:rsidRPr="00805D3A">
                              <w:rPr>
                                <w:rFonts w:cs="Arial"/>
                                <w:b/>
                                <w:color w:val="FFFFFF" w:themeColor="background1"/>
                                <w:sz w:val="20"/>
                                <w:szCs w:val="18"/>
                              </w:rPr>
                              <w:t xml:space="preserve">Statistika financování bydlení ČBA (Statistika) </w:t>
                            </w:r>
                            <w:r w:rsidRPr="00805D3A">
                              <w:rPr>
                                <w:rFonts w:cs="Arial"/>
                                <w:bCs/>
                                <w:color w:val="FFFFFF" w:themeColor="background1"/>
                                <w:sz w:val="20"/>
                                <w:szCs w:val="18"/>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10BF5F02" w14:textId="77777777" w:rsidR="00805D3A" w:rsidRPr="00C57652" w:rsidRDefault="00805D3A" w:rsidP="00805D3A">
                            <w:pPr>
                              <w:spacing w:line="276" w:lineRule="auto"/>
                              <w:ind w:left="28" w:hanging="28"/>
                              <w:jc w:val="left"/>
                              <w:outlineLvl w:val="0"/>
                              <w:rPr>
                                <w:rFonts w:cs="Arial"/>
                                <w:b/>
                                <w:color w:val="FFFFFF" w:themeColor="background1"/>
                                <w:sz w:val="20"/>
                                <w:szCs w:val="18"/>
                              </w:rPr>
                            </w:pPr>
                          </w:p>
                          <w:p w14:paraId="18AC8F1E" w14:textId="3D30E82D" w:rsidR="00805D3A" w:rsidRPr="00C57652" w:rsidRDefault="00805D3A" w:rsidP="00805D3A">
                            <w:pPr>
                              <w:spacing w:line="276" w:lineRule="auto"/>
                              <w:ind w:left="28" w:hanging="28"/>
                              <w:jc w:val="left"/>
                              <w:outlineLvl w:val="0"/>
                              <w:rPr>
                                <w:rFonts w:cs="Arial"/>
                                <w:b/>
                                <w:color w:val="FFFFFF" w:themeColor="background1"/>
                                <w:sz w:val="20"/>
                                <w:szCs w:val="18"/>
                              </w:rPr>
                            </w:pPr>
                            <w:proofErr w:type="spellStart"/>
                            <w:r w:rsidRPr="00C57652">
                              <w:rPr>
                                <w:rFonts w:cs="Arial"/>
                                <w:bCs/>
                                <w:color w:val="FFFFFF" w:themeColor="background1"/>
                                <w:sz w:val="20"/>
                                <w:szCs w:val="18"/>
                              </w:rPr>
                              <w:t>I</w:t>
                            </w:r>
                            <w:r w:rsidRPr="00C57652">
                              <w:rPr>
                                <w:rFonts w:cs="Arial"/>
                                <w:b/>
                                <w:color w:val="FFFFFF" w:themeColor="background1"/>
                                <w:sz w:val="20"/>
                                <w:szCs w:val="18"/>
                              </w:rPr>
                              <w:t>ndexRPSN</w:t>
                            </w:r>
                            <w:proofErr w:type="spellEnd"/>
                            <w:r w:rsidRPr="00C57652">
                              <w:rPr>
                                <w:rFonts w:cs="Arial"/>
                                <w:b/>
                                <w:color w:val="FFFFFF" w:themeColor="background1"/>
                                <w:sz w:val="20"/>
                                <w:szCs w:val="18"/>
                              </w:rPr>
                              <w:t xml:space="preserve"> </w:t>
                            </w:r>
                            <w:r w:rsidR="00745CFC">
                              <w:rPr>
                                <w:rFonts w:cs="Arial"/>
                                <w:b/>
                                <w:color w:val="FFFFFF" w:themeColor="background1"/>
                                <w:sz w:val="20"/>
                                <w:szCs w:val="18"/>
                              </w:rPr>
                              <w:t>ČBA</w:t>
                            </w:r>
                          </w:p>
                          <w:p w14:paraId="28C2259D" w14:textId="65DB696D" w:rsidR="00614A05" w:rsidRPr="00C57652" w:rsidRDefault="00805D3A" w:rsidP="00805D3A">
                            <w:pPr>
                              <w:spacing w:line="276" w:lineRule="auto"/>
                              <w:ind w:left="28" w:hanging="28"/>
                              <w:jc w:val="left"/>
                              <w:outlineLvl w:val="0"/>
                              <w:rPr>
                                <w:rFonts w:cs="Arial"/>
                                <w:bCs/>
                                <w:color w:val="FFFFFF" w:themeColor="background1"/>
                                <w:sz w:val="20"/>
                                <w:szCs w:val="18"/>
                              </w:rPr>
                            </w:pPr>
                            <w:r w:rsidRPr="00C57652">
                              <w:rPr>
                                <w:rFonts w:cs="Arial"/>
                                <w:bCs/>
                                <w:color w:val="FFFFFF" w:themeColor="background1"/>
                                <w:sz w:val="20"/>
                                <w:szCs w:val="18"/>
                              </w:rPr>
                              <w:t xml:space="preserve">ČBA ve své Statistice zavádí tzv. </w:t>
                            </w:r>
                            <w:proofErr w:type="spellStart"/>
                            <w:r w:rsidRPr="00C57652">
                              <w:rPr>
                                <w:rFonts w:cs="Arial"/>
                                <w:bCs/>
                                <w:color w:val="FFFFFF" w:themeColor="background1"/>
                                <w:sz w:val="20"/>
                                <w:szCs w:val="18"/>
                              </w:rPr>
                              <w:t>IndexRPSN</w:t>
                            </w:r>
                            <w:proofErr w:type="spellEnd"/>
                            <w:r w:rsidR="00745CFC">
                              <w:rPr>
                                <w:rFonts w:cs="Arial"/>
                                <w:bCs/>
                                <w:color w:val="FFFFFF" w:themeColor="background1"/>
                                <w:sz w:val="20"/>
                                <w:szCs w:val="18"/>
                              </w:rPr>
                              <w:t xml:space="preserve"> ČBA</w:t>
                            </w:r>
                            <w:r w:rsidR="0010673E" w:rsidRPr="00C57652">
                              <w:rPr>
                                <w:rFonts w:cs="Arial"/>
                                <w:bCs/>
                                <w:color w:val="FFFFFF" w:themeColor="background1"/>
                                <w:sz w:val="20"/>
                                <w:szCs w:val="18"/>
                              </w:rPr>
                              <w:t>. Jedná se o</w:t>
                            </w:r>
                            <w:r w:rsidR="00C437E5" w:rsidRPr="00C57652">
                              <w:rPr>
                                <w:rFonts w:cs="Arial"/>
                                <w:bCs/>
                                <w:color w:val="FFFFFF" w:themeColor="background1"/>
                                <w:sz w:val="20"/>
                                <w:szCs w:val="18"/>
                              </w:rPr>
                              <w:t xml:space="preserve"> </w:t>
                            </w:r>
                            <w:r w:rsidR="0010673E" w:rsidRPr="00C57652">
                              <w:rPr>
                                <w:rFonts w:cs="Arial"/>
                                <w:b/>
                                <w:color w:val="FFFFFF" w:themeColor="background1"/>
                                <w:sz w:val="20"/>
                                <w:szCs w:val="18"/>
                              </w:rPr>
                              <w:t xml:space="preserve">průměrnou RPSN </w:t>
                            </w:r>
                            <w:r w:rsidR="005702EF" w:rsidRPr="00C57652">
                              <w:rPr>
                                <w:rFonts w:cs="Arial"/>
                                <w:bCs/>
                                <w:color w:val="FFFFFF" w:themeColor="background1"/>
                                <w:sz w:val="20"/>
                                <w:szCs w:val="18"/>
                              </w:rPr>
                              <w:t xml:space="preserve">(čili Roční Procentní Sazba Nákladů) </w:t>
                            </w:r>
                            <w:r w:rsidR="0010673E" w:rsidRPr="00C57652">
                              <w:rPr>
                                <w:rFonts w:cs="Arial"/>
                                <w:b/>
                                <w:color w:val="FFFFFF" w:themeColor="background1"/>
                                <w:sz w:val="20"/>
                                <w:szCs w:val="18"/>
                              </w:rPr>
                              <w:t>za všechny banky a stave</w:t>
                            </w:r>
                            <w:r w:rsidR="005702EF" w:rsidRPr="00C57652">
                              <w:rPr>
                                <w:rFonts w:cs="Arial"/>
                                <w:b/>
                                <w:color w:val="FFFFFF" w:themeColor="background1"/>
                                <w:sz w:val="20"/>
                                <w:szCs w:val="18"/>
                              </w:rPr>
                              <w:t>b</w:t>
                            </w:r>
                            <w:r w:rsidR="0010673E" w:rsidRPr="00C57652">
                              <w:rPr>
                                <w:rFonts w:cs="Arial"/>
                                <w:b/>
                                <w:color w:val="FFFFFF" w:themeColor="background1"/>
                                <w:sz w:val="20"/>
                                <w:szCs w:val="18"/>
                              </w:rPr>
                              <w:t xml:space="preserve">ní spořitelny za příslušný měsíc. </w:t>
                            </w:r>
                            <w:r w:rsidR="0010673E" w:rsidRPr="00C57652">
                              <w:rPr>
                                <w:rFonts w:cs="Arial"/>
                                <w:bCs/>
                                <w:color w:val="FFFFFF" w:themeColor="background1"/>
                                <w:sz w:val="20"/>
                                <w:szCs w:val="18"/>
                              </w:rPr>
                              <w:t>Na vývoj</w:t>
                            </w:r>
                            <w:r w:rsidR="0010673E" w:rsidRPr="00C57652">
                              <w:rPr>
                                <w:rFonts w:cs="Arial"/>
                                <w:b/>
                                <w:color w:val="FFFFFF" w:themeColor="background1"/>
                                <w:sz w:val="20"/>
                                <w:szCs w:val="18"/>
                              </w:rPr>
                              <w:t xml:space="preserve"> </w:t>
                            </w:r>
                            <w:r w:rsidR="0010673E" w:rsidRPr="00C57652">
                              <w:rPr>
                                <w:rFonts w:cs="Arial"/>
                                <w:bCs/>
                                <w:color w:val="FFFFFF" w:themeColor="background1"/>
                                <w:sz w:val="20"/>
                                <w:szCs w:val="18"/>
                              </w:rPr>
                              <w:t xml:space="preserve">RPSN se bude ČBA zaměřovat a pravidelně ho prostřednictvím </w:t>
                            </w:r>
                            <w:proofErr w:type="spellStart"/>
                            <w:r w:rsidR="0010673E" w:rsidRPr="00C57652">
                              <w:rPr>
                                <w:rFonts w:cs="Arial"/>
                                <w:bCs/>
                                <w:color w:val="FFFFFF" w:themeColor="background1"/>
                                <w:sz w:val="20"/>
                                <w:szCs w:val="18"/>
                              </w:rPr>
                              <w:t>IndexuRPSN</w:t>
                            </w:r>
                            <w:proofErr w:type="spellEnd"/>
                            <w:r w:rsidR="00745CFC">
                              <w:rPr>
                                <w:rFonts w:cs="Arial"/>
                                <w:bCs/>
                                <w:color w:val="FFFFFF" w:themeColor="background1"/>
                                <w:sz w:val="20"/>
                                <w:szCs w:val="18"/>
                              </w:rPr>
                              <w:t xml:space="preserve"> ČBA</w:t>
                            </w:r>
                            <w:r w:rsidR="0010673E" w:rsidRPr="00C57652">
                              <w:rPr>
                                <w:rFonts w:cs="Arial"/>
                                <w:bCs/>
                                <w:color w:val="FFFFFF" w:themeColor="background1"/>
                                <w:sz w:val="20"/>
                                <w:szCs w:val="18"/>
                              </w:rPr>
                              <w:t xml:space="preserve"> </w:t>
                            </w:r>
                            <w:r w:rsidR="005702EF" w:rsidRPr="00C57652">
                              <w:rPr>
                                <w:rFonts w:cs="Arial"/>
                                <w:bCs/>
                                <w:color w:val="FFFFFF" w:themeColor="background1"/>
                                <w:sz w:val="20"/>
                                <w:szCs w:val="18"/>
                              </w:rPr>
                              <w:t>prezentovat</w:t>
                            </w:r>
                            <w:r w:rsidR="0010673E" w:rsidRPr="00C57652">
                              <w:rPr>
                                <w:rFonts w:cs="Arial"/>
                                <w:bCs/>
                                <w:color w:val="FFFFFF" w:themeColor="background1"/>
                                <w:sz w:val="20"/>
                                <w:szCs w:val="18"/>
                              </w:rPr>
                              <w:t xml:space="preserve"> </w:t>
                            </w:r>
                            <w:r w:rsidR="005702EF" w:rsidRPr="00C57652">
                              <w:rPr>
                                <w:rFonts w:cs="Arial"/>
                                <w:bCs/>
                                <w:color w:val="FFFFFF" w:themeColor="background1"/>
                                <w:sz w:val="20"/>
                                <w:szCs w:val="18"/>
                              </w:rPr>
                              <w:t>veřejnosti</w:t>
                            </w:r>
                            <w:r w:rsidR="00614A05" w:rsidRPr="00C57652">
                              <w:rPr>
                                <w:rFonts w:cs="Arial"/>
                                <w:bCs/>
                                <w:color w:val="FFFFFF" w:themeColor="background1"/>
                                <w:sz w:val="20"/>
                                <w:szCs w:val="18"/>
                              </w:rPr>
                              <w:t xml:space="preserve">, mimo jiné i na webu </w:t>
                            </w:r>
                            <w:hyperlink r:id="rId8" w:history="1">
                              <w:r w:rsidR="00614A05" w:rsidRPr="00C57652">
                                <w:rPr>
                                  <w:rStyle w:val="Hypertextovodkaz"/>
                                  <w:rFonts w:cs="Arial"/>
                                  <w:bCs/>
                                  <w:color w:val="FFFFFF" w:themeColor="background1"/>
                                  <w:sz w:val="20"/>
                                  <w:szCs w:val="18"/>
                                </w:rPr>
                                <w:t>www.cbaonline</w:t>
                              </w:r>
                              <w:r w:rsidR="00745CFC">
                                <w:rPr>
                                  <w:rStyle w:val="Hypertextovodkaz"/>
                                  <w:rFonts w:cs="Arial"/>
                                  <w:bCs/>
                                  <w:color w:val="FFFFFF" w:themeColor="background1"/>
                                  <w:sz w:val="20"/>
                                  <w:szCs w:val="18"/>
                                </w:rPr>
                                <w:t>.</w:t>
                              </w:r>
                              <w:r w:rsidR="00614A05" w:rsidRPr="00C57652">
                                <w:rPr>
                                  <w:rStyle w:val="Hypertextovodkaz"/>
                                  <w:rFonts w:cs="Arial"/>
                                  <w:bCs/>
                                  <w:color w:val="FFFFFF" w:themeColor="background1"/>
                                  <w:sz w:val="20"/>
                                  <w:szCs w:val="18"/>
                                </w:rPr>
                                <w:t>cz</w:t>
                              </w:r>
                            </w:hyperlink>
                            <w:r w:rsidR="00614A05" w:rsidRPr="00C57652">
                              <w:rPr>
                                <w:rFonts w:cs="Arial"/>
                                <w:bCs/>
                                <w:color w:val="FFFFFF" w:themeColor="background1"/>
                                <w:sz w:val="20"/>
                                <w:szCs w:val="18"/>
                              </w:rPr>
                              <w:t>.</w:t>
                            </w:r>
                          </w:p>
                          <w:p w14:paraId="47605F60" w14:textId="71FB3CDB" w:rsidR="005702EF" w:rsidRPr="00C57652" w:rsidRDefault="005702EF" w:rsidP="00614A05">
                            <w:pPr>
                              <w:spacing w:line="276" w:lineRule="auto"/>
                              <w:ind w:left="28" w:hanging="28"/>
                              <w:jc w:val="left"/>
                              <w:outlineLvl w:val="0"/>
                              <w:rPr>
                                <w:rFonts w:cs="Arial"/>
                                <w:bCs/>
                                <w:color w:val="FFFFFF" w:themeColor="background1"/>
                                <w:sz w:val="20"/>
                                <w:szCs w:val="18"/>
                              </w:rPr>
                            </w:pPr>
                          </w:p>
                          <w:p w14:paraId="360ADC40" w14:textId="77777777" w:rsidR="00614A05" w:rsidRPr="00C57652" w:rsidRDefault="00614A05" w:rsidP="00805D3A">
                            <w:pPr>
                              <w:spacing w:line="276" w:lineRule="auto"/>
                              <w:ind w:left="28" w:hanging="28"/>
                              <w:jc w:val="left"/>
                              <w:outlineLvl w:val="0"/>
                              <w:rPr>
                                <w:rFonts w:cs="Arial"/>
                                <w:b/>
                                <w:color w:val="FFFFFF" w:themeColor="background1"/>
                                <w:sz w:val="20"/>
                                <w:szCs w:val="18"/>
                              </w:rPr>
                            </w:pPr>
                            <w:r w:rsidRPr="00C57652">
                              <w:rPr>
                                <w:rFonts w:cs="Arial"/>
                                <w:b/>
                                <w:color w:val="FFFFFF" w:themeColor="background1"/>
                                <w:sz w:val="20"/>
                                <w:szCs w:val="18"/>
                              </w:rPr>
                              <w:t>O RPSN</w:t>
                            </w:r>
                          </w:p>
                          <w:p w14:paraId="76628D48" w14:textId="77777777" w:rsidR="00614A05" w:rsidRPr="00C57652" w:rsidRDefault="005702EF" w:rsidP="00805D3A">
                            <w:pPr>
                              <w:spacing w:line="276" w:lineRule="auto"/>
                              <w:ind w:left="28" w:hanging="28"/>
                              <w:jc w:val="left"/>
                              <w:outlineLvl w:val="0"/>
                              <w:rPr>
                                <w:rFonts w:cs="Arial"/>
                                <w:bCs/>
                                <w:color w:val="FFFFFF" w:themeColor="background1"/>
                                <w:sz w:val="20"/>
                                <w:szCs w:val="18"/>
                              </w:rPr>
                            </w:pPr>
                            <w:r w:rsidRPr="00C57652">
                              <w:rPr>
                                <w:rFonts w:cs="Arial"/>
                                <w:bCs/>
                                <w:color w:val="FFFFFF" w:themeColor="background1"/>
                                <w:sz w:val="20"/>
                                <w:szCs w:val="18"/>
                              </w:rPr>
                              <w:t xml:space="preserve">Sledování RPSN má oproti dalším úvěrovým parametrům </w:t>
                            </w:r>
                            <w:r w:rsidR="00614A05" w:rsidRPr="00C57652">
                              <w:rPr>
                                <w:rFonts w:cs="Arial"/>
                                <w:bCs/>
                                <w:color w:val="FFFFFF" w:themeColor="background1"/>
                                <w:sz w:val="20"/>
                                <w:szCs w:val="18"/>
                              </w:rPr>
                              <w:t xml:space="preserve">pro spotřebitele </w:t>
                            </w:r>
                            <w:r w:rsidRPr="00C57652">
                              <w:rPr>
                                <w:rFonts w:cs="Arial"/>
                                <w:bCs/>
                                <w:color w:val="FFFFFF" w:themeColor="background1"/>
                                <w:sz w:val="20"/>
                                <w:szCs w:val="18"/>
                              </w:rPr>
                              <w:t>nesporné výhody</w:t>
                            </w:r>
                            <w:r w:rsidR="00614A05" w:rsidRPr="00C57652">
                              <w:rPr>
                                <w:rFonts w:cs="Arial"/>
                                <w:bCs/>
                                <w:color w:val="FFFFFF" w:themeColor="background1"/>
                                <w:sz w:val="20"/>
                                <w:szCs w:val="18"/>
                              </w:rPr>
                              <w:t>:</w:t>
                            </w:r>
                          </w:p>
                          <w:p w14:paraId="70C22235" w14:textId="77777777"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RPSN</w:t>
                            </w:r>
                            <w:r w:rsidR="005702EF" w:rsidRPr="00C57652">
                              <w:rPr>
                                <w:rFonts w:cs="Arial"/>
                                <w:bCs/>
                                <w:color w:val="FFFFFF" w:themeColor="background1"/>
                                <w:sz w:val="20"/>
                                <w:szCs w:val="18"/>
                              </w:rPr>
                              <w:t xml:space="preserve"> z</w:t>
                            </w:r>
                            <w:r w:rsidR="00805D3A" w:rsidRPr="00C57652">
                              <w:rPr>
                                <w:rFonts w:cs="Arial"/>
                                <w:bCs/>
                                <w:color w:val="FFFFFF" w:themeColor="background1"/>
                                <w:sz w:val="20"/>
                                <w:szCs w:val="18"/>
                              </w:rPr>
                              <w:t>ahrnuje kromě úrokových sazeb všechny náklady, které poskytovatel úvěru účtuje úvěrovanému</w:t>
                            </w:r>
                            <w:r w:rsidR="005702EF" w:rsidRPr="00C57652">
                              <w:rPr>
                                <w:rFonts w:cs="Arial"/>
                                <w:bCs/>
                                <w:color w:val="FFFFFF" w:themeColor="background1"/>
                                <w:sz w:val="20"/>
                                <w:szCs w:val="18"/>
                              </w:rPr>
                              <w:t xml:space="preserve"> </w:t>
                            </w:r>
                          </w:p>
                          <w:p w14:paraId="1D0F30EA" w14:textId="12BC0832"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způsob</w:t>
                            </w:r>
                            <w:r w:rsidR="0010673E" w:rsidRPr="00C57652">
                              <w:rPr>
                                <w:rFonts w:cs="Arial"/>
                                <w:bCs/>
                                <w:color w:val="FFFFFF" w:themeColor="background1"/>
                                <w:sz w:val="20"/>
                                <w:szCs w:val="18"/>
                              </w:rPr>
                              <w:t xml:space="preserve"> výpočtu výše RPSN u každého úvěru a</w:t>
                            </w:r>
                            <w:r w:rsidRPr="00C57652">
                              <w:rPr>
                                <w:rFonts w:cs="Arial"/>
                                <w:bCs/>
                                <w:color w:val="FFFFFF" w:themeColor="background1"/>
                                <w:sz w:val="20"/>
                                <w:szCs w:val="18"/>
                              </w:rPr>
                              <w:t xml:space="preserve"> povinnost</w:t>
                            </w:r>
                            <w:r w:rsidR="0010673E" w:rsidRPr="00C57652">
                              <w:rPr>
                                <w:rFonts w:cs="Arial"/>
                                <w:bCs/>
                                <w:color w:val="FFFFFF" w:themeColor="background1"/>
                                <w:sz w:val="20"/>
                                <w:szCs w:val="18"/>
                              </w:rPr>
                              <w:t xml:space="preserve"> její sdělení úvěrovanému je </w:t>
                            </w:r>
                            <w:r w:rsidR="005702EF" w:rsidRPr="00C57652">
                              <w:rPr>
                                <w:rFonts w:cs="Arial"/>
                                <w:bCs/>
                                <w:color w:val="FFFFFF" w:themeColor="background1"/>
                                <w:sz w:val="20"/>
                                <w:szCs w:val="18"/>
                              </w:rPr>
                              <w:t xml:space="preserve">všem poskytovatelům úvěrů </w:t>
                            </w:r>
                            <w:r w:rsidR="0010673E" w:rsidRPr="00C57652">
                              <w:rPr>
                                <w:rFonts w:cs="Arial"/>
                                <w:bCs/>
                                <w:color w:val="FFFFFF" w:themeColor="background1"/>
                                <w:sz w:val="20"/>
                                <w:szCs w:val="18"/>
                              </w:rPr>
                              <w:t>dána zákonem</w:t>
                            </w:r>
                          </w:p>
                          <w:p w14:paraId="10B3D3BB" w14:textId="0AF43356"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RPSN poskytovatelé úvěrů reportují ČNB, jakožto dohledovému orgánu</w:t>
                            </w:r>
                          </w:p>
                          <w:p w14:paraId="2EFB3F00" w14:textId="32E8CFD7" w:rsidR="00805D3A" w:rsidRPr="00C57652" w:rsidRDefault="00805D3A" w:rsidP="00614A05">
                            <w:p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 xml:space="preserve">RPSN </w:t>
                            </w:r>
                            <w:r w:rsidR="0010673E" w:rsidRPr="00C57652">
                              <w:rPr>
                                <w:rFonts w:cs="Arial"/>
                                <w:bCs/>
                                <w:color w:val="FFFFFF" w:themeColor="background1"/>
                                <w:sz w:val="20"/>
                                <w:szCs w:val="18"/>
                              </w:rPr>
                              <w:t xml:space="preserve">tak </w:t>
                            </w:r>
                            <w:r w:rsidRPr="00C57652">
                              <w:rPr>
                                <w:rFonts w:cs="Arial"/>
                                <w:bCs/>
                                <w:color w:val="FFFFFF" w:themeColor="background1"/>
                                <w:sz w:val="20"/>
                                <w:szCs w:val="18"/>
                              </w:rPr>
                              <w:t xml:space="preserve">spotřebitelům </w:t>
                            </w:r>
                            <w:r w:rsidR="0010673E" w:rsidRPr="00C57652">
                              <w:rPr>
                                <w:rFonts w:cs="Arial"/>
                                <w:bCs/>
                                <w:color w:val="FFFFFF" w:themeColor="background1"/>
                                <w:sz w:val="20"/>
                                <w:szCs w:val="18"/>
                              </w:rPr>
                              <w:t>umožňuje</w:t>
                            </w:r>
                            <w:r w:rsidRPr="00C57652">
                              <w:rPr>
                                <w:rFonts w:cs="Arial"/>
                                <w:bCs/>
                                <w:color w:val="FFFFFF" w:themeColor="background1"/>
                                <w:sz w:val="20"/>
                                <w:szCs w:val="18"/>
                              </w:rPr>
                              <w:t xml:space="preserve"> </w:t>
                            </w:r>
                            <w:r w:rsidR="00614A05" w:rsidRPr="00C57652">
                              <w:rPr>
                                <w:rFonts w:cs="Arial"/>
                                <w:bCs/>
                                <w:color w:val="FFFFFF" w:themeColor="background1"/>
                                <w:sz w:val="20"/>
                                <w:szCs w:val="18"/>
                              </w:rPr>
                              <w:t xml:space="preserve">spolehlivě </w:t>
                            </w:r>
                            <w:r w:rsidRPr="00C57652">
                              <w:rPr>
                                <w:rFonts w:cs="Arial"/>
                                <w:bCs/>
                                <w:color w:val="FFFFFF" w:themeColor="background1"/>
                                <w:sz w:val="20"/>
                                <w:szCs w:val="18"/>
                              </w:rPr>
                              <w:t xml:space="preserve">srovnat výhodnost nabídek jednotlivých poskytovatelů úvěrů včetně toho, že </w:t>
                            </w:r>
                            <w:r w:rsidR="00614A05" w:rsidRPr="00C57652">
                              <w:rPr>
                                <w:rFonts w:cs="Arial"/>
                                <w:bCs/>
                                <w:color w:val="FFFFFF" w:themeColor="background1"/>
                                <w:sz w:val="20"/>
                                <w:szCs w:val="18"/>
                              </w:rPr>
                              <w:t>mohou</w:t>
                            </w:r>
                            <w:r w:rsidRPr="00C57652">
                              <w:rPr>
                                <w:rFonts w:cs="Arial"/>
                                <w:bCs/>
                                <w:color w:val="FFFFFF" w:themeColor="background1"/>
                                <w:sz w:val="20"/>
                                <w:szCs w:val="18"/>
                              </w:rPr>
                              <w:t xml:space="preserve"> porovnat i výhodnost odlišných druhů úvěrů.</w:t>
                            </w:r>
                            <w:r w:rsidRPr="00C57652">
                              <w:rPr>
                                <w:rFonts w:cs="Arial"/>
                                <w:b/>
                                <w:color w:val="FFFFFF" w:themeColor="background1"/>
                                <w:sz w:val="20"/>
                                <w:szCs w:val="18"/>
                              </w:rPr>
                              <w:t xml:space="preserve"> </w:t>
                            </w:r>
                          </w:p>
                          <w:p w14:paraId="264FB09C" w14:textId="77777777" w:rsidR="00805D3A" w:rsidRPr="00C57652" w:rsidRDefault="00805D3A" w:rsidP="00805D3A">
                            <w:pPr>
                              <w:spacing w:line="276" w:lineRule="auto"/>
                              <w:ind w:left="28" w:hanging="28"/>
                              <w:jc w:val="left"/>
                              <w:outlineLvl w:val="0"/>
                              <w:rPr>
                                <w:rFonts w:cs="Arial"/>
                                <w:b/>
                                <w:color w:val="FFFFFF" w:themeColor="background1"/>
                                <w:sz w:val="20"/>
                                <w:szCs w:val="18"/>
                              </w:rPr>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A7FD39" id="Obdélník 200" o:spid="_x0000_s1027" style="position:absolute;left:0;text-align:left;margin-left:458.05pt;margin-top:13.35pt;width:509.25pt;height:280.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" fillcolor="#007e79" stroked="f" strokeweight="1pt">
                <v:fill opacity="56283f"/>
                <v:textbox inset="3mm,3mm,3mm,3mm">
                  <w:txbxContent>
                    <w:p w14:paraId="38A0ED60" w14:textId="1AB0FA95" w:rsidR="00805D3A" w:rsidRPr="00805D3A" w:rsidRDefault="00805D3A" w:rsidP="00805D3A">
                      <w:pPr>
                        <w:spacing w:line="276" w:lineRule="auto"/>
                        <w:ind w:left="28" w:hanging="28"/>
                        <w:jc w:val="left"/>
                        <w:outlineLvl w:val="0"/>
                        <w:rPr>
                          <w:rFonts w:cs="Arial"/>
                          <w:b/>
                          <w:color w:val="FFFFFF" w:themeColor="background1"/>
                          <w:sz w:val="20"/>
                          <w:szCs w:val="18"/>
                        </w:rPr>
                      </w:pPr>
                      <w:r w:rsidRPr="00805D3A">
                        <w:rPr>
                          <w:rFonts w:cs="Arial"/>
                          <w:b/>
                          <w:color w:val="FFFFFF" w:themeColor="background1"/>
                          <w:sz w:val="20"/>
                          <w:szCs w:val="18"/>
                        </w:rPr>
                        <w:t xml:space="preserve">Statistika financování bydlení ČBA (Statistika) </w:t>
                      </w:r>
                      <w:r w:rsidRPr="00805D3A">
                        <w:rPr>
                          <w:rFonts w:cs="Arial"/>
                          <w:bCs/>
                          <w:color w:val="FFFFFF" w:themeColor="background1"/>
                          <w:sz w:val="20"/>
                          <w:szCs w:val="18"/>
                        </w:rPr>
                        <w:t>je pravidelná měsíční komentovaná zpráva ČBA vzniklá ve spolupráci s Českou národní bankou. Opírá se o data, která členské banky ČNB, jakožto orgánu vykonávající dohled nad finančním trhem, pravidelně reportují. Jedná se tedy o nejpřesnější a nejvěrohodnější dostupná data o trhu financování bydlení.</w:t>
                      </w:r>
                    </w:p>
                    <w:p w14:paraId="10BF5F02" w14:textId="77777777" w:rsidR="00805D3A" w:rsidRPr="00C57652" w:rsidRDefault="00805D3A" w:rsidP="00805D3A">
                      <w:pPr>
                        <w:spacing w:line="276" w:lineRule="auto"/>
                        <w:ind w:left="28" w:hanging="28"/>
                        <w:jc w:val="left"/>
                        <w:outlineLvl w:val="0"/>
                        <w:rPr>
                          <w:rFonts w:cs="Arial"/>
                          <w:b/>
                          <w:color w:val="FFFFFF" w:themeColor="background1"/>
                          <w:sz w:val="20"/>
                          <w:szCs w:val="18"/>
                        </w:rPr>
                      </w:pPr>
                    </w:p>
                    <w:p w14:paraId="18AC8F1E" w14:textId="3D30E82D" w:rsidR="00805D3A" w:rsidRPr="00C57652" w:rsidRDefault="00805D3A" w:rsidP="00805D3A">
                      <w:pPr>
                        <w:spacing w:line="276" w:lineRule="auto"/>
                        <w:ind w:left="28" w:hanging="28"/>
                        <w:jc w:val="left"/>
                        <w:outlineLvl w:val="0"/>
                        <w:rPr>
                          <w:rFonts w:cs="Arial"/>
                          <w:b/>
                          <w:color w:val="FFFFFF" w:themeColor="background1"/>
                          <w:sz w:val="20"/>
                          <w:szCs w:val="18"/>
                        </w:rPr>
                      </w:pPr>
                      <w:r w:rsidRPr="00C57652">
                        <w:rPr>
                          <w:rFonts w:cs="Arial"/>
                          <w:bCs/>
                          <w:color w:val="FFFFFF" w:themeColor="background1"/>
                          <w:sz w:val="20"/>
                          <w:szCs w:val="18"/>
                        </w:rPr>
                        <w:t>I</w:t>
                      </w:r>
                      <w:r w:rsidRPr="00C57652">
                        <w:rPr>
                          <w:rFonts w:cs="Arial"/>
                          <w:b/>
                          <w:color w:val="FFFFFF" w:themeColor="background1"/>
                          <w:sz w:val="20"/>
                          <w:szCs w:val="18"/>
                        </w:rPr>
                        <w:t xml:space="preserve">ndexRPSN </w:t>
                      </w:r>
                      <w:r w:rsidR="00745CFC">
                        <w:rPr>
                          <w:rFonts w:cs="Arial"/>
                          <w:b/>
                          <w:color w:val="FFFFFF" w:themeColor="background1"/>
                          <w:sz w:val="20"/>
                          <w:szCs w:val="18"/>
                        </w:rPr>
                        <w:t>ČBA</w:t>
                      </w:r>
                    </w:p>
                    <w:p w14:paraId="28C2259D" w14:textId="65DB696D" w:rsidR="00614A05" w:rsidRPr="00C57652" w:rsidRDefault="00805D3A" w:rsidP="00805D3A">
                      <w:pPr>
                        <w:spacing w:line="276" w:lineRule="auto"/>
                        <w:ind w:left="28" w:hanging="28"/>
                        <w:jc w:val="left"/>
                        <w:outlineLvl w:val="0"/>
                        <w:rPr>
                          <w:rFonts w:cs="Arial"/>
                          <w:bCs/>
                          <w:color w:val="FFFFFF" w:themeColor="background1"/>
                          <w:sz w:val="20"/>
                          <w:szCs w:val="18"/>
                        </w:rPr>
                      </w:pPr>
                      <w:r w:rsidRPr="00C57652">
                        <w:rPr>
                          <w:rFonts w:cs="Arial"/>
                          <w:bCs/>
                          <w:color w:val="FFFFFF" w:themeColor="background1"/>
                          <w:sz w:val="20"/>
                          <w:szCs w:val="18"/>
                        </w:rPr>
                        <w:t>ČBA ve své Statistice zavádí tzv. IndexRPSN</w:t>
                      </w:r>
                      <w:r w:rsidR="00745CFC">
                        <w:rPr>
                          <w:rFonts w:cs="Arial"/>
                          <w:bCs/>
                          <w:color w:val="FFFFFF" w:themeColor="background1"/>
                          <w:sz w:val="20"/>
                          <w:szCs w:val="18"/>
                        </w:rPr>
                        <w:t xml:space="preserve"> ČBA</w:t>
                      </w:r>
                      <w:r w:rsidR="0010673E" w:rsidRPr="00C57652">
                        <w:rPr>
                          <w:rFonts w:cs="Arial"/>
                          <w:bCs/>
                          <w:color w:val="FFFFFF" w:themeColor="background1"/>
                          <w:sz w:val="20"/>
                          <w:szCs w:val="18"/>
                        </w:rPr>
                        <w:t>. Jedná se o</w:t>
                      </w:r>
                      <w:r w:rsidR="00C437E5" w:rsidRPr="00C57652">
                        <w:rPr>
                          <w:rFonts w:cs="Arial"/>
                          <w:bCs/>
                          <w:color w:val="FFFFFF" w:themeColor="background1"/>
                          <w:sz w:val="20"/>
                          <w:szCs w:val="18"/>
                        </w:rPr>
                        <w:t xml:space="preserve"> </w:t>
                      </w:r>
                      <w:r w:rsidR="0010673E" w:rsidRPr="00C57652">
                        <w:rPr>
                          <w:rFonts w:cs="Arial"/>
                          <w:b/>
                          <w:color w:val="FFFFFF" w:themeColor="background1"/>
                          <w:sz w:val="20"/>
                          <w:szCs w:val="18"/>
                        </w:rPr>
                        <w:t xml:space="preserve">průměrnou RPSN </w:t>
                      </w:r>
                      <w:r w:rsidR="005702EF" w:rsidRPr="00C57652">
                        <w:rPr>
                          <w:rFonts w:cs="Arial"/>
                          <w:bCs/>
                          <w:color w:val="FFFFFF" w:themeColor="background1"/>
                          <w:sz w:val="20"/>
                          <w:szCs w:val="18"/>
                        </w:rPr>
                        <w:t xml:space="preserve">(čili Roční Procentní Sazba Nákladů) </w:t>
                      </w:r>
                      <w:r w:rsidR="0010673E" w:rsidRPr="00C57652">
                        <w:rPr>
                          <w:rFonts w:cs="Arial"/>
                          <w:b/>
                          <w:color w:val="FFFFFF" w:themeColor="background1"/>
                          <w:sz w:val="20"/>
                          <w:szCs w:val="18"/>
                        </w:rPr>
                        <w:t>za všechny banky a stave</w:t>
                      </w:r>
                      <w:r w:rsidR="005702EF" w:rsidRPr="00C57652">
                        <w:rPr>
                          <w:rFonts w:cs="Arial"/>
                          <w:b/>
                          <w:color w:val="FFFFFF" w:themeColor="background1"/>
                          <w:sz w:val="20"/>
                          <w:szCs w:val="18"/>
                        </w:rPr>
                        <w:t>b</w:t>
                      </w:r>
                      <w:r w:rsidR="0010673E" w:rsidRPr="00C57652">
                        <w:rPr>
                          <w:rFonts w:cs="Arial"/>
                          <w:b/>
                          <w:color w:val="FFFFFF" w:themeColor="background1"/>
                          <w:sz w:val="20"/>
                          <w:szCs w:val="18"/>
                        </w:rPr>
                        <w:t xml:space="preserve">ní spořitelny za příslušný měsíc. </w:t>
                      </w:r>
                      <w:r w:rsidR="0010673E" w:rsidRPr="00C57652">
                        <w:rPr>
                          <w:rFonts w:cs="Arial"/>
                          <w:bCs/>
                          <w:color w:val="FFFFFF" w:themeColor="background1"/>
                          <w:sz w:val="20"/>
                          <w:szCs w:val="18"/>
                        </w:rPr>
                        <w:t>Na vývoj</w:t>
                      </w:r>
                      <w:r w:rsidR="0010673E" w:rsidRPr="00C57652">
                        <w:rPr>
                          <w:rFonts w:cs="Arial"/>
                          <w:b/>
                          <w:color w:val="FFFFFF" w:themeColor="background1"/>
                          <w:sz w:val="20"/>
                          <w:szCs w:val="18"/>
                        </w:rPr>
                        <w:t xml:space="preserve"> </w:t>
                      </w:r>
                      <w:r w:rsidR="0010673E" w:rsidRPr="00C57652">
                        <w:rPr>
                          <w:rFonts w:cs="Arial"/>
                          <w:bCs/>
                          <w:color w:val="FFFFFF" w:themeColor="background1"/>
                          <w:sz w:val="20"/>
                          <w:szCs w:val="18"/>
                        </w:rPr>
                        <w:t>RPSN se bude ČBA zaměřovat a pravidelně ho prostřednictvím IndexuRPSN</w:t>
                      </w:r>
                      <w:r w:rsidR="00745CFC">
                        <w:rPr>
                          <w:rFonts w:cs="Arial"/>
                          <w:bCs/>
                          <w:color w:val="FFFFFF" w:themeColor="background1"/>
                          <w:sz w:val="20"/>
                          <w:szCs w:val="18"/>
                        </w:rPr>
                        <w:t xml:space="preserve"> ČBA</w:t>
                      </w:r>
                      <w:r w:rsidR="0010673E" w:rsidRPr="00C57652">
                        <w:rPr>
                          <w:rFonts w:cs="Arial"/>
                          <w:bCs/>
                          <w:color w:val="FFFFFF" w:themeColor="background1"/>
                          <w:sz w:val="20"/>
                          <w:szCs w:val="18"/>
                        </w:rPr>
                        <w:t xml:space="preserve"> </w:t>
                      </w:r>
                      <w:r w:rsidR="005702EF" w:rsidRPr="00C57652">
                        <w:rPr>
                          <w:rFonts w:cs="Arial"/>
                          <w:bCs/>
                          <w:color w:val="FFFFFF" w:themeColor="background1"/>
                          <w:sz w:val="20"/>
                          <w:szCs w:val="18"/>
                        </w:rPr>
                        <w:t>prezentovat</w:t>
                      </w:r>
                      <w:r w:rsidR="0010673E" w:rsidRPr="00C57652">
                        <w:rPr>
                          <w:rFonts w:cs="Arial"/>
                          <w:bCs/>
                          <w:color w:val="FFFFFF" w:themeColor="background1"/>
                          <w:sz w:val="20"/>
                          <w:szCs w:val="18"/>
                        </w:rPr>
                        <w:t xml:space="preserve"> </w:t>
                      </w:r>
                      <w:r w:rsidR="005702EF" w:rsidRPr="00C57652">
                        <w:rPr>
                          <w:rFonts w:cs="Arial"/>
                          <w:bCs/>
                          <w:color w:val="FFFFFF" w:themeColor="background1"/>
                          <w:sz w:val="20"/>
                          <w:szCs w:val="18"/>
                        </w:rPr>
                        <w:t>veřejnosti</w:t>
                      </w:r>
                      <w:r w:rsidR="00614A05" w:rsidRPr="00C57652">
                        <w:rPr>
                          <w:rFonts w:cs="Arial"/>
                          <w:bCs/>
                          <w:color w:val="FFFFFF" w:themeColor="background1"/>
                          <w:sz w:val="20"/>
                          <w:szCs w:val="18"/>
                        </w:rPr>
                        <w:t xml:space="preserve">, mimo jiné i na webu </w:t>
                      </w:r>
                      <w:hyperlink r:id="rId9" w:history="1">
                        <w:r w:rsidR="00614A05" w:rsidRPr="00C57652">
                          <w:rPr>
                            <w:rStyle w:val="Hypertextovodkaz"/>
                            <w:rFonts w:cs="Arial"/>
                            <w:bCs/>
                            <w:color w:val="FFFFFF" w:themeColor="background1"/>
                            <w:sz w:val="20"/>
                            <w:szCs w:val="18"/>
                          </w:rPr>
                          <w:t>www.cbaonline</w:t>
                        </w:r>
                        <w:r w:rsidR="00745CFC">
                          <w:rPr>
                            <w:rStyle w:val="Hypertextovodkaz"/>
                            <w:rFonts w:cs="Arial"/>
                            <w:bCs/>
                            <w:color w:val="FFFFFF" w:themeColor="background1"/>
                            <w:sz w:val="20"/>
                            <w:szCs w:val="18"/>
                          </w:rPr>
                          <w:t>.</w:t>
                        </w:r>
                        <w:r w:rsidR="00614A05" w:rsidRPr="00C57652">
                          <w:rPr>
                            <w:rStyle w:val="Hypertextovodkaz"/>
                            <w:rFonts w:cs="Arial"/>
                            <w:bCs/>
                            <w:color w:val="FFFFFF" w:themeColor="background1"/>
                            <w:sz w:val="20"/>
                            <w:szCs w:val="18"/>
                          </w:rPr>
                          <w:t>cz</w:t>
                        </w:r>
                      </w:hyperlink>
                      <w:r w:rsidR="00614A05" w:rsidRPr="00C57652">
                        <w:rPr>
                          <w:rFonts w:cs="Arial"/>
                          <w:bCs/>
                          <w:color w:val="FFFFFF" w:themeColor="background1"/>
                          <w:sz w:val="20"/>
                          <w:szCs w:val="18"/>
                        </w:rPr>
                        <w:t>.</w:t>
                      </w:r>
                    </w:p>
                    <w:p w14:paraId="47605F60" w14:textId="71FB3CDB" w:rsidR="005702EF" w:rsidRPr="00C57652" w:rsidRDefault="005702EF" w:rsidP="00614A05">
                      <w:pPr>
                        <w:spacing w:line="276" w:lineRule="auto"/>
                        <w:ind w:left="28" w:hanging="28"/>
                        <w:jc w:val="left"/>
                        <w:outlineLvl w:val="0"/>
                        <w:rPr>
                          <w:rFonts w:cs="Arial"/>
                          <w:bCs/>
                          <w:color w:val="FFFFFF" w:themeColor="background1"/>
                          <w:sz w:val="20"/>
                          <w:szCs w:val="18"/>
                        </w:rPr>
                      </w:pPr>
                    </w:p>
                    <w:p w14:paraId="360ADC40" w14:textId="77777777" w:rsidR="00614A05" w:rsidRPr="00C57652" w:rsidRDefault="00614A05" w:rsidP="00805D3A">
                      <w:pPr>
                        <w:spacing w:line="276" w:lineRule="auto"/>
                        <w:ind w:left="28" w:hanging="28"/>
                        <w:jc w:val="left"/>
                        <w:outlineLvl w:val="0"/>
                        <w:rPr>
                          <w:rFonts w:cs="Arial"/>
                          <w:b/>
                          <w:color w:val="FFFFFF" w:themeColor="background1"/>
                          <w:sz w:val="20"/>
                          <w:szCs w:val="18"/>
                        </w:rPr>
                      </w:pPr>
                      <w:r w:rsidRPr="00C57652">
                        <w:rPr>
                          <w:rFonts w:cs="Arial"/>
                          <w:b/>
                          <w:color w:val="FFFFFF" w:themeColor="background1"/>
                          <w:sz w:val="20"/>
                          <w:szCs w:val="18"/>
                        </w:rPr>
                        <w:t>O RPSN</w:t>
                      </w:r>
                    </w:p>
                    <w:p w14:paraId="76628D48" w14:textId="77777777" w:rsidR="00614A05" w:rsidRPr="00C57652" w:rsidRDefault="005702EF" w:rsidP="00805D3A">
                      <w:pPr>
                        <w:spacing w:line="276" w:lineRule="auto"/>
                        <w:ind w:left="28" w:hanging="28"/>
                        <w:jc w:val="left"/>
                        <w:outlineLvl w:val="0"/>
                        <w:rPr>
                          <w:rFonts w:cs="Arial"/>
                          <w:bCs/>
                          <w:color w:val="FFFFFF" w:themeColor="background1"/>
                          <w:sz w:val="20"/>
                          <w:szCs w:val="18"/>
                        </w:rPr>
                      </w:pPr>
                      <w:r w:rsidRPr="00C57652">
                        <w:rPr>
                          <w:rFonts w:cs="Arial"/>
                          <w:bCs/>
                          <w:color w:val="FFFFFF" w:themeColor="background1"/>
                          <w:sz w:val="20"/>
                          <w:szCs w:val="18"/>
                        </w:rPr>
                        <w:t xml:space="preserve">Sledování RPSN má oproti dalším úvěrovým parametrům </w:t>
                      </w:r>
                      <w:r w:rsidR="00614A05" w:rsidRPr="00C57652">
                        <w:rPr>
                          <w:rFonts w:cs="Arial"/>
                          <w:bCs/>
                          <w:color w:val="FFFFFF" w:themeColor="background1"/>
                          <w:sz w:val="20"/>
                          <w:szCs w:val="18"/>
                        </w:rPr>
                        <w:t xml:space="preserve">pro spotřebitele </w:t>
                      </w:r>
                      <w:r w:rsidRPr="00C57652">
                        <w:rPr>
                          <w:rFonts w:cs="Arial"/>
                          <w:bCs/>
                          <w:color w:val="FFFFFF" w:themeColor="background1"/>
                          <w:sz w:val="20"/>
                          <w:szCs w:val="18"/>
                        </w:rPr>
                        <w:t>nesporné výhody</w:t>
                      </w:r>
                      <w:r w:rsidR="00614A05" w:rsidRPr="00C57652">
                        <w:rPr>
                          <w:rFonts w:cs="Arial"/>
                          <w:bCs/>
                          <w:color w:val="FFFFFF" w:themeColor="background1"/>
                          <w:sz w:val="20"/>
                          <w:szCs w:val="18"/>
                        </w:rPr>
                        <w:t>:</w:t>
                      </w:r>
                    </w:p>
                    <w:p w14:paraId="70C22235" w14:textId="77777777"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RPSN</w:t>
                      </w:r>
                      <w:r w:rsidR="005702EF" w:rsidRPr="00C57652">
                        <w:rPr>
                          <w:rFonts w:cs="Arial"/>
                          <w:bCs/>
                          <w:color w:val="FFFFFF" w:themeColor="background1"/>
                          <w:sz w:val="20"/>
                          <w:szCs w:val="18"/>
                        </w:rPr>
                        <w:t xml:space="preserve"> z</w:t>
                      </w:r>
                      <w:r w:rsidR="00805D3A" w:rsidRPr="00C57652">
                        <w:rPr>
                          <w:rFonts w:cs="Arial"/>
                          <w:bCs/>
                          <w:color w:val="FFFFFF" w:themeColor="background1"/>
                          <w:sz w:val="20"/>
                          <w:szCs w:val="18"/>
                        </w:rPr>
                        <w:t>ahrnuje kromě úrokových sazeb všechny náklady, které poskytovatel úvěru účtuje úvěrovanému</w:t>
                      </w:r>
                      <w:r w:rsidR="005702EF" w:rsidRPr="00C57652">
                        <w:rPr>
                          <w:rFonts w:cs="Arial"/>
                          <w:bCs/>
                          <w:color w:val="FFFFFF" w:themeColor="background1"/>
                          <w:sz w:val="20"/>
                          <w:szCs w:val="18"/>
                        </w:rPr>
                        <w:t xml:space="preserve"> </w:t>
                      </w:r>
                    </w:p>
                    <w:p w14:paraId="1D0F30EA" w14:textId="12BC0832"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způsob</w:t>
                      </w:r>
                      <w:r w:rsidR="0010673E" w:rsidRPr="00C57652">
                        <w:rPr>
                          <w:rFonts w:cs="Arial"/>
                          <w:bCs/>
                          <w:color w:val="FFFFFF" w:themeColor="background1"/>
                          <w:sz w:val="20"/>
                          <w:szCs w:val="18"/>
                        </w:rPr>
                        <w:t xml:space="preserve"> výpočtu výše RPSN u každého úvěru a</w:t>
                      </w:r>
                      <w:r w:rsidRPr="00C57652">
                        <w:rPr>
                          <w:rFonts w:cs="Arial"/>
                          <w:bCs/>
                          <w:color w:val="FFFFFF" w:themeColor="background1"/>
                          <w:sz w:val="20"/>
                          <w:szCs w:val="18"/>
                        </w:rPr>
                        <w:t xml:space="preserve"> povinnost</w:t>
                      </w:r>
                      <w:r w:rsidR="0010673E" w:rsidRPr="00C57652">
                        <w:rPr>
                          <w:rFonts w:cs="Arial"/>
                          <w:bCs/>
                          <w:color w:val="FFFFFF" w:themeColor="background1"/>
                          <w:sz w:val="20"/>
                          <w:szCs w:val="18"/>
                        </w:rPr>
                        <w:t xml:space="preserve"> její sdělení úvěrovanému je </w:t>
                      </w:r>
                      <w:r w:rsidR="005702EF" w:rsidRPr="00C57652">
                        <w:rPr>
                          <w:rFonts w:cs="Arial"/>
                          <w:bCs/>
                          <w:color w:val="FFFFFF" w:themeColor="background1"/>
                          <w:sz w:val="20"/>
                          <w:szCs w:val="18"/>
                        </w:rPr>
                        <w:t xml:space="preserve">všem poskytovatelům úvěrů </w:t>
                      </w:r>
                      <w:r w:rsidR="0010673E" w:rsidRPr="00C57652">
                        <w:rPr>
                          <w:rFonts w:cs="Arial"/>
                          <w:bCs/>
                          <w:color w:val="FFFFFF" w:themeColor="background1"/>
                          <w:sz w:val="20"/>
                          <w:szCs w:val="18"/>
                        </w:rPr>
                        <w:t>dána zákonem</w:t>
                      </w:r>
                    </w:p>
                    <w:p w14:paraId="10B3D3BB" w14:textId="0AF43356" w:rsidR="00614A05" w:rsidRPr="00C57652" w:rsidRDefault="00614A05" w:rsidP="00614A05">
                      <w:pPr>
                        <w:pStyle w:val="Odstavecseseznamem"/>
                        <w:numPr>
                          <w:ilvl w:val="0"/>
                          <w:numId w:val="27"/>
                        </w:num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RPSN poskytovatelé úvěrů reportují ČNB, jakožto dohledovému orgánu</w:t>
                      </w:r>
                    </w:p>
                    <w:p w14:paraId="2EFB3F00" w14:textId="32E8CFD7" w:rsidR="00805D3A" w:rsidRPr="00C57652" w:rsidRDefault="00805D3A" w:rsidP="00614A05">
                      <w:pPr>
                        <w:spacing w:line="276" w:lineRule="auto"/>
                        <w:jc w:val="left"/>
                        <w:outlineLvl w:val="0"/>
                        <w:rPr>
                          <w:rFonts w:cs="Arial"/>
                          <w:bCs/>
                          <w:color w:val="FFFFFF" w:themeColor="background1"/>
                          <w:sz w:val="20"/>
                          <w:szCs w:val="18"/>
                        </w:rPr>
                      </w:pPr>
                      <w:r w:rsidRPr="00C57652">
                        <w:rPr>
                          <w:rFonts w:cs="Arial"/>
                          <w:bCs/>
                          <w:color w:val="FFFFFF" w:themeColor="background1"/>
                          <w:sz w:val="20"/>
                          <w:szCs w:val="18"/>
                        </w:rPr>
                        <w:t xml:space="preserve">RPSN </w:t>
                      </w:r>
                      <w:r w:rsidR="0010673E" w:rsidRPr="00C57652">
                        <w:rPr>
                          <w:rFonts w:cs="Arial"/>
                          <w:bCs/>
                          <w:color w:val="FFFFFF" w:themeColor="background1"/>
                          <w:sz w:val="20"/>
                          <w:szCs w:val="18"/>
                        </w:rPr>
                        <w:t xml:space="preserve">tak </w:t>
                      </w:r>
                      <w:r w:rsidRPr="00C57652">
                        <w:rPr>
                          <w:rFonts w:cs="Arial"/>
                          <w:bCs/>
                          <w:color w:val="FFFFFF" w:themeColor="background1"/>
                          <w:sz w:val="20"/>
                          <w:szCs w:val="18"/>
                        </w:rPr>
                        <w:t xml:space="preserve">spotřebitelům </w:t>
                      </w:r>
                      <w:r w:rsidR="0010673E" w:rsidRPr="00C57652">
                        <w:rPr>
                          <w:rFonts w:cs="Arial"/>
                          <w:bCs/>
                          <w:color w:val="FFFFFF" w:themeColor="background1"/>
                          <w:sz w:val="20"/>
                          <w:szCs w:val="18"/>
                        </w:rPr>
                        <w:t>umožňuje</w:t>
                      </w:r>
                      <w:r w:rsidRPr="00C57652">
                        <w:rPr>
                          <w:rFonts w:cs="Arial"/>
                          <w:bCs/>
                          <w:color w:val="FFFFFF" w:themeColor="background1"/>
                          <w:sz w:val="20"/>
                          <w:szCs w:val="18"/>
                        </w:rPr>
                        <w:t xml:space="preserve"> </w:t>
                      </w:r>
                      <w:r w:rsidR="00614A05" w:rsidRPr="00C57652">
                        <w:rPr>
                          <w:rFonts w:cs="Arial"/>
                          <w:bCs/>
                          <w:color w:val="FFFFFF" w:themeColor="background1"/>
                          <w:sz w:val="20"/>
                          <w:szCs w:val="18"/>
                        </w:rPr>
                        <w:t xml:space="preserve">spolehlivě </w:t>
                      </w:r>
                      <w:r w:rsidRPr="00C57652">
                        <w:rPr>
                          <w:rFonts w:cs="Arial"/>
                          <w:bCs/>
                          <w:color w:val="FFFFFF" w:themeColor="background1"/>
                          <w:sz w:val="20"/>
                          <w:szCs w:val="18"/>
                        </w:rPr>
                        <w:t xml:space="preserve">srovnat výhodnost nabídek jednotlivých poskytovatelů úvěrů včetně toho, že </w:t>
                      </w:r>
                      <w:r w:rsidR="00614A05" w:rsidRPr="00C57652">
                        <w:rPr>
                          <w:rFonts w:cs="Arial"/>
                          <w:bCs/>
                          <w:color w:val="FFFFFF" w:themeColor="background1"/>
                          <w:sz w:val="20"/>
                          <w:szCs w:val="18"/>
                        </w:rPr>
                        <w:t>mohou</w:t>
                      </w:r>
                      <w:r w:rsidRPr="00C57652">
                        <w:rPr>
                          <w:rFonts w:cs="Arial"/>
                          <w:bCs/>
                          <w:color w:val="FFFFFF" w:themeColor="background1"/>
                          <w:sz w:val="20"/>
                          <w:szCs w:val="18"/>
                        </w:rPr>
                        <w:t xml:space="preserve"> porovnat i výhodnost odlišných druhů úvěrů.</w:t>
                      </w:r>
                      <w:r w:rsidRPr="00C57652">
                        <w:rPr>
                          <w:rFonts w:cs="Arial"/>
                          <w:b/>
                          <w:color w:val="FFFFFF" w:themeColor="background1"/>
                          <w:sz w:val="20"/>
                          <w:szCs w:val="18"/>
                        </w:rPr>
                        <w:t xml:space="preserve"> </w:t>
                      </w:r>
                    </w:p>
                    <w:p w14:paraId="264FB09C" w14:textId="77777777" w:rsidR="00805D3A" w:rsidRPr="00C57652" w:rsidRDefault="00805D3A" w:rsidP="00805D3A">
                      <w:pPr>
                        <w:spacing w:line="276" w:lineRule="auto"/>
                        <w:ind w:left="28" w:hanging="28"/>
                        <w:jc w:val="left"/>
                        <w:outlineLvl w:val="0"/>
                        <w:rPr>
                          <w:rFonts w:cs="Arial"/>
                          <w:b/>
                          <w:color w:val="FFFFFF" w:themeColor="background1"/>
                          <w:sz w:val="20"/>
                          <w:szCs w:val="18"/>
                        </w:rPr>
                      </w:pPr>
                    </w:p>
                  </w:txbxContent>
                </v:textbox>
                <w10:wrap anchorx="margin"/>
              </v:rect>
            </w:pict>
          </mc:Fallback>
        </mc:AlternateContent>
      </w:r>
    </w:p>
    <w:p w14:paraId="037ACB86" w14:textId="3A98164D" w:rsidR="00805D3A" w:rsidRDefault="00805D3A" w:rsidP="00BD483C">
      <w:pPr>
        <w:spacing w:after="120" w:line="276" w:lineRule="auto"/>
        <w:contextualSpacing/>
        <w:rPr>
          <w:rFonts w:cs="Arial"/>
          <w:b/>
          <w:color w:val="007E79"/>
          <w:sz w:val="28"/>
          <w:szCs w:val="28"/>
        </w:rPr>
      </w:pPr>
    </w:p>
    <w:p w14:paraId="293F1A5F" w14:textId="37EA4F7E" w:rsidR="00805D3A" w:rsidRDefault="00805D3A" w:rsidP="00BD483C">
      <w:pPr>
        <w:spacing w:after="120" w:line="276" w:lineRule="auto"/>
        <w:contextualSpacing/>
        <w:rPr>
          <w:rFonts w:cs="Arial"/>
          <w:b/>
          <w:color w:val="007E79"/>
          <w:sz w:val="28"/>
          <w:szCs w:val="28"/>
        </w:rPr>
      </w:pPr>
    </w:p>
    <w:p w14:paraId="573D9E83" w14:textId="2291B3BE" w:rsidR="00805D3A" w:rsidRDefault="00805D3A" w:rsidP="00BD483C">
      <w:pPr>
        <w:spacing w:after="120" w:line="276" w:lineRule="auto"/>
        <w:contextualSpacing/>
        <w:rPr>
          <w:rFonts w:cs="Arial"/>
          <w:b/>
          <w:color w:val="007E79"/>
          <w:sz w:val="28"/>
          <w:szCs w:val="28"/>
        </w:rPr>
      </w:pPr>
    </w:p>
    <w:p w14:paraId="4AA93466" w14:textId="27B9F2A1" w:rsidR="00805D3A" w:rsidRDefault="00805D3A" w:rsidP="00BD483C">
      <w:pPr>
        <w:spacing w:after="120" w:line="276" w:lineRule="auto"/>
        <w:contextualSpacing/>
        <w:rPr>
          <w:rFonts w:cs="Arial"/>
          <w:b/>
          <w:color w:val="007E79"/>
          <w:sz w:val="28"/>
          <w:szCs w:val="28"/>
        </w:rPr>
      </w:pPr>
    </w:p>
    <w:p w14:paraId="239DC562" w14:textId="76AA1199" w:rsidR="00805D3A" w:rsidRDefault="00805D3A" w:rsidP="00BD483C">
      <w:pPr>
        <w:spacing w:after="120" w:line="276" w:lineRule="auto"/>
        <w:contextualSpacing/>
        <w:rPr>
          <w:rFonts w:cs="Arial"/>
          <w:b/>
          <w:color w:val="007E79"/>
          <w:sz w:val="28"/>
          <w:szCs w:val="28"/>
        </w:rPr>
      </w:pPr>
    </w:p>
    <w:p w14:paraId="757201FB" w14:textId="77777777" w:rsidR="00805D3A" w:rsidRDefault="00805D3A" w:rsidP="00BD483C">
      <w:pPr>
        <w:spacing w:after="120" w:line="276" w:lineRule="auto"/>
        <w:contextualSpacing/>
        <w:rPr>
          <w:rFonts w:cs="Arial"/>
          <w:b/>
          <w:color w:val="007E79"/>
          <w:sz w:val="28"/>
          <w:szCs w:val="28"/>
        </w:rPr>
      </w:pPr>
    </w:p>
    <w:p w14:paraId="7BCF8073" w14:textId="60A67518" w:rsidR="00805D3A" w:rsidRDefault="00805D3A" w:rsidP="00BD483C">
      <w:pPr>
        <w:spacing w:after="120" w:line="276" w:lineRule="auto"/>
        <w:contextualSpacing/>
        <w:rPr>
          <w:rFonts w:cs="Arial"/>
          <w:b/>
          <w:color w:val="007E79"/>
          <w:sz w:val="28"/>
          <w:szCs w:val="28"/>
        </w:rPr>
      </w:pPr>
    </w:p>
    <w:p w14:paraId="293142CD" w14:textId="77777777" w:rsidR="00805D3A" w:rsidRDefault="00805D3A" w:rsidP="00805D3A">
      <w:pPr>
        <w:spacing w:line="276" w:lineRule="auto"/>
        <w:rPr>
          <w:i/>
          <w:iCs/>
          <w:sz w:val="22"/>
          <w:szCs w:val="22"/>
        </w:rPr>
      </w:pPr>
    </w:p>
    <w:p w14:paraId="2E93C560" w14:textId="77777777" w:rsidR="00877706" w:rsidRPr="00E27F2F" w:rsidRDefault="00877706" w:rsidP="00BD483C">
      <w:pPr>
        <w:spacing w:after="120" w:line="276" w:lineRule="auto"/>
        <w:contextualSpacing/>
        <w:rPr>
          <w:rFonts w:cs="Arial"/>
          <w:szCs w:val="18"/>
        </w:rPr>
      </w:pPr>
    </w:p>
    <w:p w14:paraId="544B5959" w14:textId="77777777" w:rsidR="00C437E5" w:rsidRDefault="00C437E5" w:rsidP="002B4617">
      <w:pPr>
        <w:spacing w:after="120" w:line="276" w:lineRule="auto"/>
        <w:contextualSpacing/>
        <w:rPr>
          <w:rFonts w:cs="Arial"/>
          <w:b/>
          <w:color w:val="007E79"/>
          <w:sz w:val="20"/>
        </w:rPr>
      </w:pPr>
    </w:p>
    <w:p w14:paraId="0F62940F" w14:textId="77777777" w:rsidR="005702EF" w:rsidRDefault="005702EF" w:rsidP="002B4617">
      <w:pPr>
        <w:spacing w:after="120" w:line="276" w:lineRule="auto"/>
        <w:contextualSpacing/>
        <w:rPr>
          <w:rFonts w:cs="Arial"/>
          <w:b/>
          <w:color w:val="007E79"/>
          <w:sz w:val="20"/>
        </w:rPr>
      </w:pPr>
    </w:p>
    <w:p w14:paraId="207C20F5" w14:textId="77777777" w:rsidR="005702EF" w:rsidRDefault="005702EF" w:rsidP="002B4617">
      <w:pPr>
        <w:spacing w:after="120" w:line="276" w:lineRule="auto"/>
        <w:contextualSpacing/>
        <w:rPr>
          <w:rFonts w:cs="Arial"/>
          <w:b/>
          <w:color w:val="007E79"/>
          <w:sz w:val="20"/>
        </w:rPr>
      </w:pPr>
    </w:p>
    <w:p w14:paraId="5879471F" w14:textId="77777777" w:rsidR="005702EF" w:rsidRDefault="005702EF" w:rsidP="002B4617">
      <w:pPr>
        <w:spacing w:after="120" w:line="276" w:lineRule="auto"/>
        <w:contextualSpacing/>
        <w:rPr>
          <w:rFonts w:cs="Arial"/>
          <w:b/>
          <w:color w:val="007E79"/>
          <w:sz w:val="20"/>
        </w:rPr>
      </w:pPr>
    </w:p>
    <w:p w14:paraId="2A2B1FBE" w14:textId="77777777" w:rsidR="00614A05" w:rsidRDefault="00614A05" w:rsidP="002B4617">
      <w:pPr>
        <w:spacing w:after="120" w:line="276" w:lineRule="auto"/>
        <w:contextualSpacing/>
        <w:rPr>
          <w:rFonts w:cs="Arial"/>
          <w:b/>
          <w:color w:val="007E79"/>
          <w:sz w:val="20"/>
        </w:rPr>
      </w:pPr>
    </w:p>
    <w:p w14:paraId="6321A5B8" w14:textId="77777777" w:rsidR="00614A05" w:rsidRDefault="00614A05" w:rsidP="002B4617">
      <w:pPr>
        <w:spacing w:after="120" w:line="276" w:lineRule="auto"/>
        <w:contextualSpacing/>
        <w:rPr>
          <w:rFonts w:cs="Arial"/>
          <w:b/>
          <w:color w:val="007E79"/>
          <w:sz w:val="20"/>
        </w:rPr>
      </w:pPr>
    </w:p>
    <w:p w14:paraId="41B201E2" w14:textId="77777777" w:rsidR="00614A05" w:rsidRDefault="00614A05" w:rsidP="002B4617">
      <w:pPr>
        <w:spacing w:after="120" w:line="276" w:lineRule="auto"/>
        <w:contextualSpacing/>
        <w:rPr>
          <w:rFonts w:cs="Arial"/>
          <w:b/>
          <w:color w:val="007E79"/>
          <w:sz w:val="20"/>
        </w:rPr>
      </w:pPr>
    </w:p>
    <w:p w14:paraId="0AB9A2FD" w14:textId="77777777" w:rsidR="00614A05" w:rsidRDefault="00614A05" w:rsidP="002B4617">
      <w:pPr>
        <w:spacing w:after="120" w:line="276" w:lineRule="auto"/>
        <w:contextualSpacing/>
        <w:rPr>
          <w:rFonts w:cs="Arial"/>
          <w:b/>
          <w:color w:val="007E79"/>
          <w:sz w:val="20"/>
        </w:rPr>
      </w:pPr>
    </w:p>
    <w:p w14:paraId="57F88DAF" w14:textId="77777777" w:rsidR="00614A05" w:rsidRDefault="00614A05" w:rsidP="002B4617">
      <w:pPr>
        <w:spacing w:after="120" w:line="276" w:lineRule="auto"/>
        <w:contextualSpacing/>
        <w:rPr>
          <w:rFonts w:cs="Arial"/>
          <w:b/>
          <w:color w:val="007E79"/>
          <w:sz w:val="20"/>
        </w:rPr>
      </w:pPr>
    </w:p>
    <w:p w14:paraId="3E9662D5" w14:textId="614499F2" w:rsidR="007B7C9E" w:rsidRDefault="007B7C9E" w:rsidP="007B7C9E">
      <w:pPr>
        <w:spacing w:line="276" w:lineRule="auto"/>
        <w:rPr>
          <w:rFonts w:cs="Arial"/>
          <w:b/>
          <w:color w:val="007E79"/>
          <w:sz w:val="24"/>
          <w:szCs w:val="24"/>
        </w:rPr>
      </w:pPr>
    </w:p>
    <w:p w14:paraId="19FE4AED" w14:textId="77777777" w:rsidR="00745CFC" w:rsidRDefault="00745CFC" w:rsidP="00745CFC">
      <w:pPr>
        <w:tabs>
          <w:tab w:val="left" w:pos="3660"/>
        </w:tabs>
        <w:spacing w:after="120" w:line="276" w:lineRule="auto"/>
        <w:contextualSpacing/>
        <w:rPr>
          <w:rFonts w:cs="Arial"/>
          <w:b/>
          <w:color w:val="007E79"/>
          <w:sz w:val="24"/>
          <w:szCs w:val="24"/>
        </w:rPr>
      </w:pPr>
      <w:r>
        <w:rPr>
          <w:rFonts w:cs="Arial"/>
          <w:b/>
          <w:color w:val="007E79"/>
          <w:sz w:val="24"/>
          <w:szCs w:val="24"/>
        </w:rPr>
        <w:t>---</w:t>
      </w:r>
    </w:p>
    <w:p w14:paraId="4B8D3585" w14:textId="78A87F8A" w:rsidR="00745CFC" w:rsidRPr="00353644" w:rsidRDefault="00745CFC" w:rsidP="00745CFC">
      <w:pPr>
        <w:tabs>
          <w:tab w:val="left" w:pos="3660"/>
        </w:tabs>
        <w:spacing w:after="120" w:line="276" w:lineRule="auto"/>
        <w:contextualSpacing/>
        <w:rPr>
          <w:rFonts w:cs="Arial"/>
          <w:b/>
          <w:color w:val="007E79"/>
          <w:sz w:val="24"/>
          <w:szCs w:val="24"/>
        </w:rPr>
      </w:pPr>
      <w:proofErr w:type="spellStart"/>
      <w:r w:rsidRPr="00353644">
        <w:rPr>
          <w:rFonts w:cs="Arial"/>
          <w:b/>
          <w:color w:val="007E79"/>
          <w:sz w:val="24"/>
          <w:szCs w:val="24"/>
        </w:rPr>
        <w:t>IndexRPSN</w:t>
      </w:r>
      <w:proofErr w:type="spellEnd"/>
      <w:r>
        <w:rPr>
          <w:rFonts w:cs="Arial"/>
          <w:b/>
          <w:color w:val="007E79"/>
          <w:sz w:val="24"/>
          <w:szCs w:val="24"/>
        </w:rPr>
        <w:t xml:space="preserve"> ČBA</w:t>
      </w:r>
    </w:p>
    <w:p w14:paraId="73C47182" w14:textId="3C6BFDEA" w:rsidR="00745CFC" w:rsidRDefault="00745CFC" w:rsidP="00745CFC">
      <w:pPr>
        <w:tabs>
          <w:tab w:val="left" w:pos="3660"/>
        </w:tabs>
        <w:spacing w:after="120" w:line="276" w:lineRule="auto"/>
        <w:contextualSpacing/>
        <w:rPr>
          <w:rFonts w:cs="Arial"/>
          <w:sz w:val="20"/>
        </w:rPr>
      </w:pPr>
      <w:proofErr w:type="spellStart"/>
      <w:r>
        <w:rPr>
          <w:rFonts w:cs="Arial"/>
          <w:sz w:val="20"/>
        </w:rPr>
        <w:t>IndexRPSN</w:t>
      </w:r>
      <w:proofErr w:type="spellEnd"/>
      <w:r>
        <w:rPr>
          <w:rFonts w:cs="Arial"/>
          <w:sz w:val="20"/>
        </w:rPr>
        <w:t xml:space="preserve"> ČBA</w:t>
      </w:r>
      <w:r w:rsidRPr="00C57652">
        <w:rPr>
          <w:rFonts w:cs="Arial"/>
          <w:sz w:val="20"/>
        </w:rPr>
        <w:t xml:space="preserve"> </w:t>
      </w:r>
      <w:r>
        <w:rPr>
          <w:rFonts w:cs="Arial"/>
          <w:sz w:val="20"/>
        </w:rPr>
        <w:t xml:space="preserve">(průměrná </w:t>
      </w:r>
      <w:r w:rsidRPr="00353644">
        <w:rPr>
          <w:rFonts w:cs="Arial"/>
          <w:sz w:val="20"/>
        </w:rPr>
        <w:t>RPSN</w:t>
      </w:r>
      <w:r>
        <w:rPr>
          <w:rFonts w:cs="Arial"/>
          <w:sz w:val="20"/>
        </w:rPr>
        <w:t>)</w:t>
      </w:r>
      <w:r w:rsidRPr="00353644">
        <w:rPr>
          <w:rFonts w:cs="Arial"/>
          <w:sz w:val="20"/>
        </w:rPr>
        <w:t xml:space="preserve"> podle statistiky ČNB b</w:t>
      </w:r>
      <w:r>
        <w:rPr>
          <w:rFonts w:cs="Arial"/>
          <w:sz w:val="20"/>
        </w:rPr>
        <w:t>yl</w:t>
      </w:r>
      <w:r w:rsidRPr="00353644">
        <w:rPr>
          <w:rFonts w:cs="Arial"/>
          <w:sz w:val="20"/>
        </w:rPr>
        <w:t xml:space="preserve"> za </w:t>
      </w:r>
      <w:r>
        <w:rPr>
          <w:rFonts w:cs="Arial"/>
          <w:sz w:val="20"/>
        </w:rPr>
        <w:t>srpen</w:t>
      </w:r>
      <w:r w:rsidRPr="00353644">
        <w:rPr>
          <w:rFonts w:cs="Arial"/>
          <w:sz w:val="20"/>
        </w:rPr>
        <w:t xml:space="preserve"> u hypotečních úvěrů na bydlení 2,</w:t>
      </w:r>
      <w:r>
        <w:rPr>
          <w:rFonts w:cs="Arial"/>
          <w:sz w:val="20"/>
        </w:rPr>
        <w:t>29</w:t>
      </w:r>
      <w:r w:rsidRPr="00353644">
        <w:rPr>
          <w:rFonts w:cs="Arial"/>
          <w:sz w:val="20"/>
        </w:rPr>
        <w:t xml:space="preserve"> %. Oproti </w:t>
      </w:r>
      <w:r>
        <w:rPr>
          <w:rFonts w:cs="Arial"/>
          <w:sz w:val="20"/>
        </w:rPr>
        <w:t>červenci</w:t>
      </w:r>
      <w:r w:rsidRPr="00353644">
        <w:rPr>
          <w:rFonts w:cs="Arial"/>
          <w:sz w:val="20"/>
        </w:rPr>
        <w:t xml:space="preserve"> 2020 </w:t>
      </w:r>
      <w:r>
        <w:rPr>
          <w:rFonts w:cs="Arial"/>
          <w:sz w:val="20"/>
        </w:rPr>
        <w:t>klesla</w:t>
      </w:r>
      <w:r w:rsidRPr="00353644">
        <w:rPr>
          <w:rFonts w:cs="Arial"/>
          <w:sz w:val="20"/>
        </w:rPr>
        <w:t xml:space="preserve"> průměrná RPSN o </w:t>
      </w:r>
      <w:proofErr w:type="gramStart"/>
      <w:r w:rsidRPr="00353644">
        <w:rPr>
          <w:rFonts w:cs="Arial"/>
          <w:sz w:val="20"/>
        </w:rPr>
        <w:t>0,</w:t>
      </w:r>
      <w:r>
        <w:rPr>
          <w:rFonts w:cs="Arial"/>
          <w:sz w:val="20"/>
        </w:rPr>
        <w:t>08</w:t>
      </w:r>
      <w:r w:rsidRPr="00353644">
        <w:rPr>
          <w:rFonts w:cs="Arial"/>
          <w:sz w:val="20"/>
        </w:rPr>
        <w:t xml:space="preserve"> procentního</w:t>
      </w:r>
      <w:proofErr w:type="gramEnd"/>
      <w:r w:rsidRPr="00353644">
        <w:rPr>
          <w:rFonts w:cs="Arial"/>
          <w:sz w:val="20"/>
        </w:rPr>
        <w:t xml:space="preserve"> bodu. V </w:t>
      </w:r>
      <w:r>
        <w:rPr>
          <w:rFonts w:cs="Arial"/>
          <w:sz w:val="20"/>
        </w:rPr>
        <w:t>srpnu</w:t>
      </w:r>
      <w:r w:rsidRPr="00353644">
        <w:rPr>
          <w:rFonts w:cs="Arial"/>
          <w:sz w:val="20"/>
        </w:rPr>
        <w:t xml:space="preserve"> 2019 byla 2,</w:t>
      </w:r>
      <w:r>
        <w:rPr>
          <w:rFonts w:cs="Arial"/>
          <w:sz w:val="20"/>
        </w:rPr>
        <w:t>77</w:t>
      </w:r>
      <w:r w:rsidRPr="00353644">
        <w:rPr>
          <w:rFonts w:cs="Arial"/>
          <w:sz w:val="20"/>
        </w:rPr>
        <w:t xml:space="preserve"> %, tudíž v </w:t>
      </w:r>
      <w:r>
        <w:rPr>
          <w:rFonts w:cs="Arial"/>
          <w:sz w:val="20"/>
        </w:rPr>
        <w:t>srpnu</w:t>
      </w:r>
      <w:r w:rsidRPr="00353644">
        <w:rPr>
          <w:rFonts w:cs="Arial"/>
          <w:sz w:val="20"/>
        </w:rPr>
        <w:t xml:space="preserve"> </w:t>
      </w:r>
      <w:r w:rsidR="00F23996">
        <w:rPr>
          <w:rFonts w:cs="Arial"/>
          <w:sz w:val="20"/>
        </w:rPr>
        <w:t xml:space="preserve">2020 </w:t>
      </w:r>
      <w:r w:rsidRPr="00353644">
        <w:rPr>
          <w:rFonts w:cs="Arial"/>
          <w:sz w:val="20"/>
        </w:rPr>
        <w:t>došlo k</w:t>
      </w:r>
      <w:r w:rsidR="00F23996">
        <w:rPr>
          <w:rFonts w:cs="Arial"/>
          <w:sz w:val="20"/>
        </w:rPr>
        <w:t xml:space="preserve"> ročnímu</w:t>
      </w:r>
      <w:r w:rsidRPr="00353644">
        <w:rPr>
          <w:rFonts w:cs="Arial"/>
          <w:sz w:val="20"/>
        </w:rPr>
        <w:t xml:space="preserve"> snížení o </w:t>
      </w:r>
      <w:proofErr w:type="gramStart"/>
      <w:r w:rsidRPr="00353644">
        <w:rPr>
          <w:rFonts w:cs="Arial"/>
          <w:sz w:val="20"/>
        </w:rPr>
        <w:t>0,</w:t>
      </w:r>
      <w:r>
        <w:rPr>
          <w:rFonts w:cs="Arial"/>
          <w:sz w:val="20"/>
        </w:rPr>
        <w:t>48</w:t>
      </w:r>
      <w:r w:rsidRPr="00353644">
        <w:rPr>
          <w:rFonts w:cs="Arial"/>
          <w:sz w:val="20"/>
        </w:rPr>
        <w:t xml:space="preserve"> procentního</w:t>
      </w:r>
      <w:proofErr w:type="gramEnd"/>
      <w:r w:rsidRPr="00353644">
        <w:rPr>
          <w:rFonts w:cs="Arial"/>
          <w:sz w:val="20"/>
        </w:rPr>
        <w:t xml:space="preserve"> bodu. </w:t>
      </w:r>
      <w:r>
        <w:rPr>
          <w:rFonts w:cs="Arial"/>
          <w:sz w:val="20"/>
        </w:rPr>
        <w:t xml:space="preserve">To </w:t>
      </w:r>
      <w:r w:rsidR="00F23996">
        <w:rPr>
          <w:rFonts w:cs="Arial"/>
          <w:sz w:val="20"/>
        </w:rPr>
        <w:t>představuje</w:t>
      </w:r>
      <w:r>
        <w:rPr>
          <w:rFonts w:cs="Arial"/>
          <w:sz w:val="20"/>
        </w:rPr>
        <w:t xml:space="preserve"> snížení měsíční splátky u průměrné hypotéky o více než 1 100 Kč.</w:t>
      </w:r>
    </w:p>
    <w:p w14:paraId="52436F1B" w14:textId="32324670" w:rsidR="00745CFC" w:rsidRDefault="009722C1" w:rsidP="00745CFC">
      <w:pPr>
        <w:tabs>
          <w:tab w:val="left" w:pos="3660"/>
        </w:tabs>
        <w:spacing w:after="120" w:line="276" w:lineRule="auto"/>
        <w:contextualSpacing/>
        <w:rPr>
          <w:rFonts w:cs="Arial"/>
          <w:sz w:val="20"/>
        </w:rPr>
      </w:pPr>
      <w:r>
        <w:rPr>
          <w:rFonts w:cs="Arial"/>
          <w:noProof/>
          <w:sz w:val="20"/>
        </w:rPr>
        <w:drawing>
          <wp:inline distT="0" distB="0" distL="0" distR="0" wp14:anchorId="131983E0" wp14:editId="64692F60">
            <wp:extent cx="3747357" cy="2873578"/>
            <wp:effectExtent l="0" t="0" r="5715" b="317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9781" cy="3005797"/>
                    </a:xfrm>
                    <a:prstGeom prst="rect">
                      <a:avLst/>
                    </a:prstGeom>
                    <a:noFill/>
                    <a:ln>
                      <a:noFill/>
                    </a:ln>
                  </pic:spPr>
                </pic:pic>
              </a:graphicData>
            </a:graphic>
          </wp:inline>
        </w:drawing>
      </w:r>
    </w:p>
    <w:p w14:paraId="23208A7F" w14:textId="1F2C0556" w:rsidR="00745CFC" w:rsidRPr="006A2BA7" w:rsidRDefault="00745CFC" w:rsidP="00745CFC">
      <w:pPr>
        <w:tabs>
          <w:tab w:val="left" w:pos="3660"/>
        </w:tabs>
        <w:spacing w:after="120" w:line="276" w:lineRule="auto"/>
        <w:contextualSpacing/>
        <w:rPr>
          <w:sz w:val="16"/>
          <w:szCs w:val="16"/>
        </w:rPr>
      </w:pPr>
      <w:r>
        <w:rPr>
          <w:sz w:val="20"/>
        </w:rPr>
        <w:t xml:space="preserve">                                                        </w:t>
      </w:r>
      <w:r w:rsidRPr="006A2BA7">
        <w:rPr>
          <w:sz w:val="16"/>
          <w:szCs w:val="16"/>
        </w:rPr>
        <w:t xml:space="preserve">    </w:t>
      </w:r>
      <w:r>
        <w:rPr>
          <w:sz w:val="16"/>
          <w:szCs w:val="16"/>
        </w:rPr>
        <w:t xml:space="preserve">         </w:t>
      </w:r>
      <w:r w:rsidRPr="006A2BA7">
        <w:rPr>
          <w:sz w:val="16"/>
          <w:szCs w:val="16"/>
        </w:rPr>
        <w:t xml:space="preserve">  (Zdroj: Statistika ARAD, ČNB)</w:t>
      </w:r>
    </w:p>
    <w:p w14:paraId="53B68B29" w14:textId="77777777" w:rsidR="00745CFC" w:rsidRDefault="00745CFC" w:rsidP="00745CFC">
      <w:pPr>
        <w:tabs>
          <w:tab w:val="left" w:pos="3660"/>
        </w:tabs>
        <w:spacing w:after="120" w:line="276" w:lineRule="auto"/>
        <w:contextualSpacing/>
        <w:rPr>
          <w:i/>
          <w:iCs/>
          <w:sz w:val="20"/>
        </w:rPr>
      </w:pPr>
      <w:r w:rsidRPr="00353644">
        <w:rPr>
          <w:b/>
          <w:bCs/>
          <w:sz w:val="20"/>
        </w:rPr>
        <w:lastRenderedPageBreak/>
        <w:t>Vladimír Staňura, hlavní poradce ČBA</w:t>
      </w:r>
      <w:r>
        <w:rPr>
          <w:i/>
          <w:iCs/>
          <w:sz w:val="20"/>
        </w:rPr>
        <w:t>:</w:t>
      </w:r>
    </w:p>
    <w:p w14:paraId="1D0574BF" w14:textId="7AA8D8EF" w:rsidR="00745CFC" w:rsidRDefault="00745CFC" w:rsidP="00745CFC">
      <w:pPr>
        <w:rPr>
          <w:i/>
          <w:iCs/>
          <w:sz w:val="20"/>
        </w:rPr>
      </w:pPr>
      <w:r>
        <w:rPr>
          <w:i/>
          <w:iCs/>
          <w:sz w:val="20"/>
        </w:rPr>
        <w:t xml:space="preserve">RPSN stále klesá, ale mám za to, že tento pokles se už brzy zastaví. Na trhu je obrovské množství peněz. To je dáno několikaletou intervencí ČNB ve snaze udržet inflační cíl 2 %, oslabit korunu a podpořit tak ekonomiku. Přestože tyto intervence už dávno ustaly, na trhu je obrovské množství peněz. K tomu je zapotřebí připočíst zadlužování státu a vysoké schodky státního rozpočtu. To vše vytváří inflační očekávání, které časem povede k růstu úrokových sazeb. </w:t>
      </w:r>
    </w:p>
    <w:p w14:paraId="755C767C" w14:textId="42244CDA" w:rsidR="00745CFC" w:rsidRDefault="00745CFC" w:rsidP="00745CFC">
      <w:pPr>
        <w:tabs>
          <w:tab w:val="left" w:pos="3660"/>
        </w:tabs>
        <w:spacing w:after="120" w:line="276" w:lineRule="auto"/>
        <w:contextualSpacing/>
        <w:rPr>
          <w:rFonts w:cs="Arial"/>
          <w:i/>
          <w:iCs/>
          <w:sz w:val="20"/>
        </w:rPr>
      </w:pPr>
      <w:r>
        <w:rPr>
          <w:rFonts w:cs="Arial"/>
          <w:i/>
          <w:iCs/>
          <w:sz w:val="20"/>
        </w:rPr>
        <w:t xml:space="preserve">Ostatně sazby na mezibankovním trhu už pomalu rostou. To znamená, že rostou i sazby, za které </w:t>
      </w:r>
      <w:r w:rsidR="00F23996">
        <w:rPr>
          <w:rFonts w:cs="Arial"/>
          <w:i/>
          <w:iCs/>
          <w:sz w:val="20"/>
        </w:rPr>
        <w:t xml:space="preserve">se </w:t>
      </w:r>
      <w:r>
        <w:rPr>
          <w:rFonts w:cs="Arial"/>
          <w:i/>
          <w:iCs/>
          <w:sz w:val="20"/>
        </w:rPr>
        <w:t>banky refinancují nebo od kterých odvozují cenu peněz, když „naceňují“ hypoteční úvěry. Jinými slovy, zmenšuje se prostor pro banky pro snižování RPSN hypotečních úvěrů.</w:t>
      </w:r>
    </w:p>
    <w:p w14:paraId="531CFC0C" w14:textId="77777777" w:rsidR="00745CFC" w:rsidRDefault="00745CFC" w:rsidP="007B7C9E">
      <w:pPr>
        <w:tabs>
          <w:tab w:val="left" w:pos="3660"/>
        </w:tabs>
        <w:spacing w:after="120" w:line="276" w:lineRule="auto"/>
        <w:contextualSpacing/>
        <w:rPr>
          <w:rFonts w:cs="Arial"/>
          <w:b/>
          <w:color w:val="007E79"/>
          <w:sz w:val="24"/>
          <w:szCs w:val="24"/>
        </w:rPr>
      </w:pPr>
    </w:p>
    <w:p w14:paraId="02883C4B" w14:textId="2179A789" w:rsidR="00353644" w:rsidRDefault="00353644" w:rsidP="007B7C9E">
      <w:pPr>
        <w:tabs>
          <w:tab w:val="left" w:pos="3660"/>
        </w:tabs>
        <w:spacing w:after="120" w:line="276" w:lineRule="auto"/>
        <w:contextualSpacing/>
        <w:rPr>
          <w:rFonts w:cs="Arial"/>
          <w:b/>
          <w:color w:val="007E79"/>
          <w:sz w:val="24"/>
          <w:szCs w:val="24"/>
        </w:rPr>
      </w:pPr>
      <w:r>
        <w:rPr>
          <w:rFonts w:cs="Arial"/>
          <w:b/>
          <w:color w:val="007E79"/>
          <w:sz w:val="24"/>
          <w:szCs w:val="24"/>
        </w:rPr>
        <w:t>---</w:t>
      </w:r>
    </w:p>
    <w:p w14:paraId="30CF9870" w14:textId="05A41362" w:rsidR="007B7C9E" w:rsidRPr="00353644" w:rsidRDefault="007B7C9E" w:rsidP="007B7C9E">
      <w:pPr>
        <w:tabs>
          <w:tab w:val="left" w:pos="3660"/>
        </w:tabs>
        <w:spacing w:after="120" w:line="276" w:lineRule="auto"/>
        <w:contextualSpacing/>
        <w:rPr>
          <w:rFonts w:cs="Arial"/>
          <w:b/>
          <w:color w:val="007E79"/>
          <w:sz w:val="24"/>
          <w:szCs w:val="24"/>
        </w:rPr>
      </w:pPr>
      <w:r w:rsidRPr="00353644">
        <w:rPr>
          <w:rFonts w:cs="Arial"/>
          <w:b/>
          <w:color w:val="007E79"/>
          <w:sz w:val="24"/>
          <w:szCs w:val="24"/>
        </w:rPr>
        <w:t xml:space="preserve">Nové úvěry na bydlení </w:t>
      </w:r>
    </w:p>
    <w:p w14:paraId="6BEBEE82" w14:textId="570999FB" w:rsidR="00353644" w:rsidRDefault="003F4201" w:rsidP="007B7C9E">
      <w:pPr>
        <w:tabs>
          <w:tab w:val="left" w:pos="3660"/>
        </w:tabs>
        <w:spacing w:after="120" w:line="276" w:lineRule="auto"/>
        <w:contextualSpacing/>
        <w:rPr>
          <w:sz w:val="20"/>
        </w:rPr>
      </w:pPr>
      <w:r>
        <w:rPr>
          <w:sz w:val="20"/>
        </w:rPr>
        <w:t>Skutečně n</w:t>
      </w:r>
      <w:r w:rsidR="007B7C9E" w:rsidRPr="007B7C9E">
        <w:rPr>
          <w:sz w:val="20"/>
        </w:rPr>
        <w:t xml:space="preserve">ové hypoteční úvěry na bydlení od bank a stavebních spořitelen dosáhly v </w:t>
      </w:r>
      <w:r w:rsidR="004821B3">
        <w:rPr>
          <w:sz w:val="20"/>
        </w:rPr>
        <w:t>srpnu</w:t>
      </w:r>
      <w:r w:rsidR="007B7C9E" w:rsidRPr="007B7C9E">
        <w:rPr>
          <w:sz w:val="20"/>
        </w:rPr>
        <w:t xml:space="preserve"> </w:t>
      </w:r>
      <w:r w:rsidR="005F75AC">
        <w:rPr>
          <w:sz w:val="20"/>
        </w:rPr>
        <w:t xml:space="preserve">2020 </w:t>
      </w:r>
      <w:r w:rsidR="007B7C9E" w:rsidRPr="007B7C9E">
        <w:rPr>
          <w:sz w:val="20"/>
        </w:rPr>
        <w:t>celkového objemu 1</w:t>
      </w:r>
      <w:r w:rsidR="004821B3">
        <w:rPr>
          <w:sz w:val="20"/>
        </w:rPr>
        <w:t>7</w:t>
      </w:r>
      <w:r w:rsidR="007B7C9E" w:rsidRPr="007B7C9E">
        <w:rPr>
          <w:sz w:val="20"/>
        </w:rPr>
        <w:t xml:space="preserve"> mld. </w:t>
      </w:r>
      <w:r w:rsidR="00F23996">
        <w:rPr>
          <w:sz w:val="20"/>
        </w:rPr>
        <w:t>korun</w:t>
      </w:r>
      <w:r w:rsidR="007B7C9E" w:rsidRPr="007B7C9E">
        <w:rPr>
          <w:sz w:val="20"/>
        </w:rPr>
        <w:t xml:space="preserve">. To je </w:t>
      </w:r>
      <w:r w:rsidR="004821B3">
        <w:rPr>
          <w:sz w:val="20"/>
        </w:rPr>
        <w:t xml:space="preserve">o 2,6 mld. </w:t>
      </w:r>
      <w:r w:rsidR="00F23996">
        <w:rPr>
          <w:sz w:val="20"/>
        </w:rPr>
        <w:t>korun</w:t>
      </w:r>
      <w:r w:rsidR="004821B3">
        <w:rPr>
          <w:sz w:val="20"/>
        </w:rPr>
        <w:t xml:space="preserve"> </w:t>
      </w:r>
      <w:r w:rsidR="00F23996">
        <w:rPr>
          <w:sz w:val="20"/>
        </w:rPr>
        <w:t>(</w:t>
      </w:r>
      <w:r w:rsidR="004821B3">
        <w:rPr>
          <w:sz w:val="20"/>
        </w:rPr>
        <w:t>o 11,2 %</w:t>
      </w:r>
      <w:r w:rsidR="00F23996">
        <w:rPr>
          <w:sz w:val="20"/>
        </w:rPr>
        <w:t>)</w:t>
      </w:r>
      <w:r w:rsidR="004821B3">
        <w:rPr>
          <w:sz w:val="20"/>
        </w:rPr>
        <w:t xml:space="preserve"> méně než v</w:t>
      </w:r>
      <w:r w:rsidR="00830A58">
        <w:rPr>
          <w:sz w:val="20"/>
        </w:rPr>
        <w:t> červenci 2020</w:t>
      </w:r>
      <w:r w:rsidR="004821B3">
        <w:rPr>
          <w:sz w:val="20"/>
        </w:rPr>
        <w:t>. Přesto je to</w:t>
      </w:r>
      <w:r w:rsidR="005F75AC">
        <w:rPr>
          <w:sz w:val="20"/>
        </w:rPr>
        <w:t xml:space="preserve"> </w:t>
      </w:r>
      <w:r w:rsidR="00830A58">
        <w:rPr>
          <w:sz w:val="20"/>
        </w:rPr>
        <w:t xml:space="preserve">o 4 mld. </w:t>
      </w:r>
      <w:r w:rsidR="00F23996">
        <w:rPr>
          <w:sz w:val="20"/>
        </w:rPr>
        <w:t>korun</w:t>
      </w:r>
      <w:r w:rsidR="00830A58">
        <w:rPr>
          <w:sz w:val="20"/>
        </w:rPr>
        <w:t xml:space="preserve"> </w:t>
      </w:r>
      <w:r w:rsidR="00F23996">
        <w:rPr>
          <w:sz w:val="20"/>
        </w:rPr>
        <w:t>(</w:t>
      </w:r>
      <w:r w:rsidR="00830A58">
        <w:rPr>
          <w:sz w:val="20"/>
        </w:rPr>
        <w:t>o 30 %</w:t>
      </w:r>
      <w:r w:rsidR="00F23996">
        <w:rPr>
          <w:sz w:val="20"/>
        </w:rPr>
        <w:t>)</w:t>
      </w:r>
      <w:r w:rsidR="00830A58">
        <w:rPr>
          <w:sz w:val="20"/>
        </w:rPr>
        <w:t xml:space="preserve"> více než v srpnu 2019.</w:t>
      </w:r>
      <w:r w:rsidR="007B7C9E" w:rsidRPr="007B7C9E">
        <w:rPr>
          <w:sz w:val="20"/>
        </w:rPr>
        <w:t xml:space="preserve"> </w:t>
      </w:r>
    </w:p>
    <w:p w14:paraId="565E5EC9" w14:textId="3456CA2A" w:rsidR="007B7C9E" w:rsidRPr="007B7C9E" w:rsidRDefault="009722C1" w:rsidP="007B7C9E">
      <w:pPr>
        <w:tabs>
          <w:tab w:val="left" w:pos="3660"/>
        </w:tabs>
        <w:spacing w:after="120" w:line="276" w:lineRule="auto"/>
        <w:contextualSpacing/>
        <w:rPr>
          <w:sz w:val="20"/>
        </w:rPr>
      </w:pPr>
      <w:r>
        <w:rPr>
          <w:noProof/>
          <w:sz w:val="20"/>
        </w:rPr>
        <w:drawing>
          <wp:inline distT="0" distB="0" distL="0" distR="0" wp14:anchorId="1122A14C" wp14:editId="786D6A78">
            <wp:extent cx="4005409" cy="3063503"/>
            <wp:effectExtent l="0" t="0" r="0" b="381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4189" cy="3077867"/>
                    </a:xfrm>
                    <a:prstGeom prst="rect">
                      <a:avLst/>
                    </a:prstGeom>
                    <a:noFill/>
                    <a:ln>
                      <a:noFill/>
                    </a:ln>
                  </pic:spPr>
                </pic:pic>
              </a:graphicData>
            </a:graphic>
          </wp:inline>
        </w:drawing>
      </w:r>
    </w:p>
    <w:p w14:paraId="752760A2" w14:textId="79766612" w:rsidR="007B7C9E" w:rsidRPr="006A2BA7" w:rsidRDefault="00966D19" w:rsidP="00966D19">
      <w:pPr>
        <w:tabs>
          <w:tab w:val="left" w:pos="3660"/>
        </w:tabs>
        <w:spacing w:after="120" w:line="276" w:lineRule="auto"/>
        <w:contextualSpacing/>
        <w:rPr>
          <w:sz w:val="16"/>
          <w:szCs w:val="16"/>
        </w:rPr>
      </w:pPr>
      <w:bookmarkStart w:id="0" w:name="_Hlk47098926"/>
      <w:r w:rsidRPr="006A2BA7">
        <w:rPr>
          <w:sz w:val="16"/>
          <w:szCs w:val="16"/>
        </w:rPr>
        <w:t xml:space="preserve">                                                          </w:t>
      </w:r>
      <w:r w:rsidR="006A2BA7" w:rsidRPr="006A2BA7">
        <w:rPr>
          <w:sz w:val="16"/>
          <w:szCs w:val="16"/>
        </w:rPr>
        <w:t xml:space="preserve">      </w:t>
      </w:r>
      <w:r w:rsidR="006A2BA7">
        <w:rPr>
          <w:sz w:val="16"/>
          <w:szCs w:val="16"/>
        </w:rPr>
        <w:t xml:space="preserve">                             </w:t>
      </w:r>
      <w:r w:rsidR="006A2BA7" w:rsidRPr="006A2BA7">
        <w:rPr>
          <w:sz w:val="16"/>
          <w:szCs w:val="16"/>
        </w:rPr>
        <w:t xml:space="preserve"> </w:t>
      </w:r>
      <w:r w:rsidRPr="006A2BA7">
        <w:rPr>
          <w:sz w:val="16"/>
          <w:szCs w:val="16"/>
        </w:rPr>
        <w:t xml:space="preserve"> </w:t>
      </w:r>
      <w:r w:rsidR="00353644" w:rsidRPr="006A2BA7">
        <w:rPr>
          <w:sz w:val="16"/>
          <w:szCs w:val="16"/>
        </w:rPr>
        <w:t>(Zdroj: Statistika ARAD, ČNB)</w:t>
      </w:r>
    </w:p>
    <w:bookmarkEnd w:id="0"/>
    <w:p w14:paraId="26ECCE19" w14:textId="77777777" w:rsidR="00353644" w:rsidRDefault="00353644" w:rsidP="007B7C9E">
      <w:pPr>
        <w:tabs>
          <w:tab w:val="left" w:pos="3660"/>
        </w:tabs>
        <w:spacing w:after="120" w:line="276" w:lineRule="auto"/>
        <w:contextualSpacing/>
        <w:rPr>
          <w:i/>
          <w:iCs/>
          <w:sz w:val="20"/>
        </w:rPr>
      </w:pPr>
    </w:p>
    <w:p w14:paraId="33A75CD3" w14:textId="77777777" w:rsidR="001A757E" w:rsidRDefault="001A757E" w:rsidP="007B7C9E">
      <w:pPr>
        <w:tabs>
          <w:tab w:val="left" w:pos="3660"/>
        </w:tabs>
        <w:spacing w:after="120" w:line="276" w:lineRule="auto"/>
        <w:contextualSpacing/>
        <w:rPr>
          <w:b/>
          <w:bCs/>
          <w:sz w:val="20"/>
        </w:rPr>
      </w:pPr>
    </w:p>
    <w:p w14:paraId="31E1A18A" w14:textId="6FA1F7AB" w:rsidR="00353644" w:rsidRDefault="00353644" w:rsidP="007B7C9E">
      <w:pPr>
        <w:tabs>
          <w:tab w:val="left" w:pos="3660"/>
        </w:tabs>
        <w:spacing w:after="120" w:line="276" w:lineRule="auto"/>
        <w:contextualSpacing/>
        <w:rPr>
          <w:i/>
          <w:iCs/>
          <w:sz w:val="20"/>
        </w:rPr>
      </w:pPr>
      <w:r w:rsidRPr="00353644">
        <w:rPr>
          <w:b/>
          <w:bCs/>
          <w:sz w:val="20"/>
        </w:rPr>
        <w:t>Vladimír Staňura, hlavní poradce ČBA</w:t>
      </w:r>
      <w:r>
        <w:rPr>
          <w:i/>
          <w:iCs/>
          <w:sz w:val="20"/>
        </w:rPr>
        <w:t>:</w:t>
      </w:r>
    </w:p>
    <w:p w14:paraId="2A20B343" w14:textId="35DB21C6" w:rsidR="00B7226C" w:rsidRDefault="00830A58" w:rsidP="007B7C9E">
      <w:pPr>
        <w:tabs>
          <w:tab w:val="left" w:pos="3660"/>
        </w:tabs>
        <w:spacing w:after="120" w:line="276" w:lineRule="auto"/>
        <w:contextualSpacing/>
        <w:rPr>
          <w:i/>
          <w:iCs/>
          <w:sz w:val="20"/>
        </w:rPr>
      </w:pPr>
      <w:r>
        <w:rPr>
          <w:i/>
          <w:iCs/>
          <w:sz w:val="20"/>
        </w:rPr>
        <w:t xml:space="preserve">Pokud se někomu zdá, že srpen byl slabým měsícem, protože objemy prodejů byly o 11,2 % nižší než v červenci, tak ho musím vyvést z omylu. </w:t>
      </w:r>
      <w:r w:rsidR="004F1636">
        <w:rPr>
          <w:i/>
          <w:iCs/>
          <w:sz w:val="20"/>
        </w:rPr>
        <w:t xml:space="preserve">Už jenom srovnání se srpnem v loňském roce je velmi výmluvné, protože letošní srpen byl o 30 % vyšší než ten v r. 2019. </w:t>
      </w:r>
      <w:r w:rsidR="00B7226C">
        <w:rPr>
          <w:i/>
          <w:iCs/>
          <w:sz w:val="20"/>
        </w:rPr>
        <w:t xml:space="preserve">Pokud zůstanou prodeje na úrovni posledních 3 měsíců, máme před sebou zcela rekordní rok. Možná historicky nejsilnější rok. S ohledem na probíhající </w:t>
      </w:r>
      <w:proofErr w:type="spellStart"/>
      <w:r w:rsidR="00B7226C">
        <w:rPr>
          <w:i/>
          <w:iCs/>
          <w:sz w:val="20"/>
        </w:rPr>
        <w:t>koronavirovou</w:t>
      </w:r>
      <w:proofErr w:type="spellEnd"/>
      <w:r w:rsidR="00B7226C">
        <w:rPr>
          <w:i/>
          <w:iCs/>
          <w:sz w:val="20"/>
        </w:rPr>
        <w:t xml:space="preserve"> anabázi jsou tyto výsledky až neuvěřitelné. </w:t>
      </w:r>
    </w:p>
    <w:p w14:paraId="034BE0C7" w14:textId="501016E7" w:rsidR="00830A58" w:rsidRDefault="00B7226C" w:rsidP="007B7C9E">
      <w:pPr>
        <w:tabs>
          <w:tab w:val="left" w:pos="3660"/>
        </w:tabs>
        <w:spacing w:after="120" w:line="276" w:lineRule="auto"/>
        <w:contextualSpacing/>
        <w:rPr>
          <w:i/>
          <w:iCs/>
          <w:sz w:val="20"/>
        </w:rPr>
      </w:pPr>
      <w:r>
        <w:rPr>
          <w:i/>
          <w:iCs/>
          <w:sz w:val="20"/>
        </w:rPr>
        <w:t>To je podivuhodné také proto</w:t>
      </w:r>
      <w:r w:rsidR="004F1636">
        <w:rPr>
          <w:i/>
          <w:iCs/>
          <w:sz w:val="20"/>
        </w:rPr>
        <w:t xml:space="preserve">, že letní měsíce tradičně bývají slabšími. Tady bych si zaspekuloval s tím, že v létě bývají lidé na dovolené. Letos jsme byli </w:t>
      </w:r>
      <w:r w:rsidR="001B7C65">
        <w:rPr>
          <w:i/>
          <w:iCs/>
          <w:sz w:val="20"/>
        </w:rPr>
        <w:t>doma,</w:t>
      </w:r>
      <w:r w:rsidR="004F1636">
        <w:rPr>
          <w:i/>
          <w:iCs/>
          <w:sz w:val="20"/>
        </w:rPr>
        <w:t xml:space="preserve"> a tak jsme se věnovali víc</w:t>
      </w:r>
      <w:r w:rsidR="001B7C65">
        <w:rPr>
          <w:i/>
          <w:iCs/>
          <w:sz w:val="20"/>
        </w:rPr>
        <w:t>e</w:t>
      </w:r>
      <w:r w:rsidR="004F1636">
        <w:rPr>
          <w:i/>
          <w:iCs/>
          <w:sz w:val="20"/>
        </w:rPr>
        <w:t xml:space="preserve"> jiným věcem než moři. Např. bydlení.</w:t>
      </w:r>
    </w:p>
    <w:p w14:paraId="3C949818" w14:textId="21859E58" w:rsidR="00B7226C" w:rsidRDefault="00B7226C" w:rsidP="007B7C9E">
      <w:pPr>
        <w:tabs>
          <w:tab w:val="left" w:pos="3660"/>
        </w:tabs>
        <w:spacing w:after="120" w:line="276" w:lineRule="auto"/>
        <w:contextualSpacing/>
        <w:rPr>
          <w:i/>
          <w:iCs/>
          <w:sz w:val="20"/>
        </w:rPr>
      </w:pPr>
      <w:r>
        <w:rPr>
          <w:i/>
          <w:iCs/>
          <w:sz w:val="20"/>
        </w:rPr>
        <w:t xml:space="preserve">Nejsilnějším </w:t>
      </w:r>
      <w:r w:rsidR="001B7C65">
        <w:rPr>
          <w:i/>
          <w:iCs/>
          <w:sz w:val="20"/>
        </w:rPr>
        <w:t>tahounem</w:t>
      </w:r>
      <w:r>
        <w:rPr>
          <w:i/>
          <w:iCs/>
          <w:sz w:val="20"/>
        </w:rPr>
        <w:t xml:space="preserve"> vysokých prodejů ovšem zůstává nadále velmi nízká RPSN a úrokové sazby.</w:t>
      </w:r>
    </w:p>
    <w:p w14:paraId="0D4728FF" w14:textId="77777777" w:rsidR="00B7226C" w:rsidRDefault="00B7226C" w:rsidP="007B7C9E">
      <w:pPr>
        <w:tabs>
          <w:tab w:val="left" w:pos="3660"/>
        </w:tabs>
        <w:spacing w:after="120" w:line="276" w:lineRule="auto"/>
        <w:contextualSpacing/>
        <w:rPr>
          <w:i/>
          <w:iCs/>
          <w:sz w:val="20"/>
        </w:rPr>
      </w:pPr>
    </w:p>
    <w:p w14:paraId="7BFA83E1" w14:textId="77777777" w:rsidR="001B7C65" w:rsidRDefault="001B7C65">
      <w:pPr>
        <w:overflowPunct/>
        <w:autoSpaceDE/>
        <w:autoSpaceDN/>
        <w:adjustRightInd/>
        <w:spacing w:after="160" w:line="259" w:lineRule="auto"/>
        <w:jc w:val="left"/>
        <w:textAlignment w:val="auto"/>
        <w:rPr>
          <w:rFonts w:cs="Arial"/>
          <w:b/>
          <w:color w:val="007E79"/>
          <w:sz w:val="24"/>
          <w:szCs w:val="24"/>
        </w:rPr>
      </w:pPr>
      <w:r>
        <w:rPr>
          <w:rFonts w:cs="Arial"/>
          <w:b/>
          <w:color w:val="007E79"/>
          <w:sz w:val="24"/>
          <w:szCs w:val="24"/>
        </w:rPr>
        <w:br w:type="page"/>
      </w:r>
    </w:p>
    <w:p w14:paraId="6C324E51" w14:textId="158A76C1" w:rsidR="007B7C9E" w:rsidRPr="00353644" w:rsidRDefault="007B7C9E" w:rsidP="007B7C9E">
      <w:pPr>
        <w:tabs>
          <w:tab w:val="left" w:pos="3660"/>
        </w:tabs>
        <w:spacing w:after="120" w:line="276" w:lineRule="auto"/>
        <w:contextualSpacing/>
        <w:rPr>
          <w:rFonts w:cs="Arial"/>
          <w:b/>
          <w:color w:val="007E79"/>
          <w:sz w:val="24"/>
          <w:szCs w:val="24"/>
        </w:rPr>
      </w:pPr>
      <w:r w:rsidRPr="00353644">
        <w:rPr>
          <w:rFonts w:cs="Arial"/>
          <w:b/>
          <w:color w:val="007E79"/>
          <w:sz w:val="24"/>
          <w:szCs w:val="24"/>
        </w:rPr>
        <w:t>Refinancování úvěrů na bydlení</w:t>
      </w:r>
    </w:p>
    <w:p w14:paraId="7651B575" w14:textId="376484BE" w:rsidR="007B7C9E" w:rsidRPr="007B7C9E" w:rsidRDefault="007B7C9E" w:rsidP="007B7C9E">
      <w:pPr>
        <w:tabs>
          <w:tab w:val="left" w:pos="3660"/>
        </w:tabs>
        <w:spacing w:after="120" w:line="276" w:lineRule="auto"/>
        <w:contextualSpacing/>
        <w:rPr>
          <w:rFonts w:cs="Arial"/>
          <w:sz w:val="20"/>
        </w:rPr>
      </w:pPr>
      <w:r w:rsidRPr="007B7C9E">
        <w:rPr>
          <w:rFonts w:cs="Arial"/>
          <w:sz w:val="20"/>
        </w:rPr>
        <w:lastRenderedPageBreak/>
        <w:t>Refinancování hypotečních úvěrů</w:t>
      </w:r>
      <w:r w:rsidR="003F4201">
        <w:rPr>
          <w:rFonts w:cs="Arial"/>
          <w:sz w:val="20"/>
        </w:rPr>
        <w:t xml:space="preserve"> od bank a stavebních spořitelen</w:t>
      </w:r>
      <w:r w:rsidRPr="007B7C9E">
        <w:rPr>
          <w:rFonts w:cs="Arial"/>
          <w:sz w:val="20"/>
        </w:rPr>
        <w:t xml:space="preserve"> (tj. přechod k jiné bance) za </w:t>
      </w:r>
      <w:r w:rsidR="0023303D">
        <w:rPr>
          <w:rFonts w:cs="Arial"/>
          <w:sz w:val="20"/>
        </w:rPr>
        <w:t>srpen</w:t>
      </w:r>
      <w:r w:rsidRPr="007B7C9E">
        <w:rPr>
          <w:rFonts w:cs="Arial"/>
          <w:sz w:val="20"/>
        </w:rPr>
        <w:t xml:space="preserve"> </w:t>
      </w:r>
      <w:r w:rsidR="00AB1811">
        <w:rPr>
          <w:rFonts w:cs="Arial"/>
          <w:sz w:val="20"/>
        </w:rPr>
        <w:t>zůstává na vysoké úrovni a dosáhl</w:t>
      </w:r>
      <w:r w:rsidR="0023303D">
        <w:rPr>
          <w:rFonts w:cs="Arial"/>
          <w:sz w:val="20"/>
        </w:rPr>
        <w:t>o</w:t>
      </w:r>
      <w:r w:rsidR="00AB1811">
        <w:rPr>
          <w:rFonts w:cs="Arial"/>
          <w:sz w:val="20"/>
        </w:rPr>
        <w:t xml:space="preserve"> 3,5 mld. </w:t>
      </w:r>
      <w:r w:rsidR="00E52609">
        <w:rPr>
          <w:rFonts w:cs="Arial"/>
          <w:sz w:val="20"/>
        </w:rPr>
        <w:t>korun,</w:t>
      </w:r>
      <w:r w:rsidR="001A757E">
        <w:rPr>
          <w:rFonts w:cs="Arial"/>
          <w:sz w:val="20"/>
        </w:rPr>
        <w:t xml:space="preserve"> tj. s</w:t>
      </w:r>
      <w:r w:rsidR="00AB1811">
        <w:rPr>
          <w:rFonts w:cs="Arial"/>
          <w:sz w:val="20"/>
        </w:rPr>
        <w:t xml:space="preserve">tejně jako v červnu </w:t>
      </w:r>
      <w:r w:rsidR="0023303D">
        <w:rPr>
          <w:rFonts w:cs="Arial"/>
          <w:sz w:val="20"/>
        </w:rPr>
        <w:t xml:space="preserve">a červenci. </w:t>
      </w:r>
      <w:r w:rsidR="009D67D9">
        <w:rPr>
          <w:rFonts w:cs="Arial"/>
          <w:sz w:val="20"/>
        </w:rPr>
        <w:t xml:space="preserve">Pro srovnání: měsíční průměr refinancování byl v loňském roce 2,4 mld. </w:t>
      </w:r>
      <w:r w:rsidR="00E52609">
        <w:rPr>
          <w:rFonts w:cs="Arial"/>
          <w:sz w:val="20"/>
        </w:rPr>
        <w:t>korun</w:t>
      </w:r>
      <w:r w:rsidR="009D67D9">
        <w:rPr>
          <w:rFonts w:cs="Arial"/>
          <w:sz w:val="20"/>
        </w:rPr>
        <w:t>.</w:t>
      </w:r>
    </w:p>
    <w:p w14:paraId="37AB492F" w14:textId="77777777" w:rsidR="007B7C9E" w:rsidRPr="007B7C9E" w:rsidRDefault="007B7C9E" w:rsidP="007B7C9E">
      <w:pPr>
        <w:tabs>
          <w:tab w:val="left" w:pos="3660"/>
        </w:tabs>
        <w:spacing w:after="120" w:line="276" w:lineRule="auto"/>
        <w:contextualSpacing/>
        <w:rPr>
          <w:rFonts w:cs="Arial"/>
          <w:i/>
          <w:iCs/>
          <w:sz w:val="20"/>
        </w:rPr>
      </w:pPr>
    </w:p>
    <w:p w14:paraId="0C43C1FE" w14:textId="5FC2D34B" w:rsidR="00353644" w:rsidRDefault="00353644" w:rsidP="00353644">
      <w:pPr>
        <w:tabs>
          <w:tab w:val="left" w:pos="3660"/>
        </w:tabs>
        <w:spacing w:after="120" w:line="276" w:lineRule="auto"/>
        <w:contextualSpacing/>
        <w:rPr>
          <w:i/>
          <w:iCs/>
          <w:sz w:val="20"/>
        </w:rPr>
      </w:pPr>
      <w:r w:rsidRPr="00353644">
        <w:rPr>
          <w:b/>
          <w:bCs/>
          <w:sz w:val="20"/>
        </w:rPr>
        <w:t>Vladimír Staňura, hlavní poradce ČBA</w:t>
      </w:r>
      <w:r>
        <w:rPr>
          <w:i/>
          <w:iCs/>
          <w:sz w:val="20"/>
        </w:rPr>
        <w:t>:</w:t>
      </w:r>
    </w:p>
    <w:p w14:paraId="41235755" w14:textId="7D36025E" w:rsidR="007B7C9E" w:rsidRPr="007B7C9E" w:rsidRDefault="007B7C9E" w:rsidP="007B7C9E">
      <w:pPr>
        <w:tabs>
          <w:tab w:val="left" w:pos="3660"/>
        </w:tabs>
        <w:spacing w:after="120" w:line="276" w:lineRule="auto"/>
        <w:contextualSpacing/>
        <w:rPr>
          <w:rFonts w:cs="Arial"/>
          <w:i/>
          <w:iCs/>
          <w:sz w:val="20"/>
        </w:rPr>
      </w:pPr>
      <w:r w:rsidRPr="007B7C9E">
        <w:rPr>
          <w:rFonts w:cs="Arial"/>
          <w:i/>
          <w:iCs/>
          <w:sz w:val="20"/>
        </w:rPr>
        <w:t xml:space="preserve">V příštích měsících se dá očekávat, že při </w:t>
      </w:r>
      <w:r w:rsidR="00986076">
        <w:rPr>
          <w:rFonts w:cs="Arial"/>
          <w:i/>
          <w:iCs/>
          <w:sz w:val="20"/>
        </w:rPr>
        <w:t>nízkých RPSN</w:t>
      </w:r>
      <w:r w:rsidRPr="007B7C9E">
        <w:rPr>
          <w:rFonts w:cs="Arial"/>
          <w:i/>
          <w:iCs/>
          <w:sz w:val="20"/>
        </w:rPr>
        <w:t xml:space="preserve"> hypotečních úvěrů bude objem refinancování </w:t>
      </w:r>
      <w:r w:rsidR="00D54E1D">
        <w:rPr>
          <w:rFonts w:cs="Arial"/>
          <w:i/>
          <w:iCs/>
          <w:sz w:val="20"/>
        </w:rPr>
        <w:t>zůstávat vysoký</w:t>
      </w:r>
      <w:r w:rsidR="00100350">
        <w:rPr>
          <w:rFonts w:cs="Arial"/>
          <w:i/>
          <w:iCs/>
          <w:sz w:val="20"/>
        </w:rPr>
        <w:t xml:space="preserve">, což ostatně poslední měsíce zcela jasně prokázaly. Refinancování </w:t>
      </w:r>
      <w:r w:rsidR="00E52609">
        <w:rPr>
          <w:rFonts w:cs="Arial"/>
          <w:i/>
          <w:iCs/>
          <w:sz w:val="20"/>
        </w:rPr>
        <w:t>je pro</w:t>
      </w:r>
      <w:r w:rsidR="00100350">
        <w:rPr>
          <w:rFonts w:cs="Arial"/>
          <w:i/>
          <w:iCs/>
          <w:sz w:val="20"/>
        </w:rPr>
        <w:t xml:space="preserve"> spotřebitele dobrý způsob, jak si zlevnit svou hypotéku.</w:t>
      </w:r>
    </w:p>
    <w:p w14:paraId="3B256073" w14:textId="5F9C3826" w:rsidR="00353644" w:rsidRDefault="00353644" w:rsidP="00353644">
      <w:pPr>
        <w:tabs>
          <w:tab w:val="left" w:pos="3660"/>
        </w:tabs>
        <w:spacing w:after="120" w:line="276" w:lineRule="auto"/>
        <w:contextualSpacing/>
        <w:rPr>
          <w:rFonts w:cs="Arial"/>
          <w:sz w:val="16"/>
          <w:szCs w:val="16"/>
        </w:rPr>
      </w:pPr>
    </w:p>
    <w:p w14:paraId="1175A81D" w14:textId="77777777" w:rsidR="00100350" w:rsidRPr="007B7C9E" w:rsidRDefault="00100350" w:rsidP="007B7C9E">
      <w:pPr>
        <w:tabs>
          <w:tab w:val="left" w:pos="3660"/>
        </w:tabs>
        <w:spacing w:after="120" w:line="276" w:lineRule="auto"/>
        <w:contextualSpacing/>
        <w:rPr>
          <w:rFonts w:cs="Arial"/>
          <w:i/>
          <w:iCs/>
          <w:sz w:val="20"/>
        </w:rPr>
      </w:pPr>
    </w:p>
    <w:p w14:paraId="4F78942D" w14:textId="12C3FA57" w:rsidR="00E52609" w:rsidRDefault="00E52609" w:rsidP="002C2C2B">
      <w:pPr>
        <w:spacing w:after="120" w:line="276" w:lineRule="auto"/>
        <w:rPr>
          <w:rFonts w:cs="Arial"/>
          <w:b/>
          <w:color w:val="007E79"/>
          <w:sz w:val="16"/>
          <w:szCs w:val="16"/>
        </w:rPr>
      </w:pPr>
    </w:p>
    <w:p w14:paraId="0367924F" w14:textId="77777777" w:rsidR="00E52609" w:rsidRDefault="00E52609" w:rsidP="002C2C2B">
      <w:pPr>
        <w:spacing w:after="120" w:line="276" w:lineRule="auto"/>
        <w:rPr>
          <w:rFonts w:cs="Arial"/>
          <w:b/>
          <w:color w:val="007E79"/>
          <w:sz w:val="16"/>
          <w:szCs w:val="16"/>
        </w:rPr>
      </w:pPr>
    </w:p>
    <w:p w14:paraId="33C8EB8C" w14:textId="77777777" w:rsidR="00E52609" w:rsidRDefault="00E52609" w:rsidP="002C2C2B">
      <w:pPr>
        <w:spacing w:after="120" w:line="276" w:lineRule="auto"/>
        <w:rPr>
          <w:rFonts w:cs="Arial"/>
          <w:b/>
          <w:color w:val="007E79"/>
          <w:sz w:val="16"/>
          <w:szCs w:val="16"/>
        </w:rPr>
      </w:pPr>
    </w:p>
    <w:p w14:paraId="4BFBB04C" w14:textId="77777777" w:rsidR="00E52609" w:rsidRDefault="00E52609" w:rsidP="002C2C2B">
      <w:pPr>
        <w:spacing w:after="120" w:line="276" w:lineRule="auto"/>
        <w:rPr>
          <w:rFonts w:cs="Arial"/>
          <w:b/>
          <w:color w:val="007E79"/>
          <w:sz w:val="16"/>
          <w:szCs w:val="16"/>
        </w:rPr>
      </w:pPr>
    </w:p>
    <w:p w14:paraId="57C36CB6" w14:textId="77777777" w:rsidR="00E52609" w:rsidRDefault="00E52609" w:rsidP="002C2C2B">
      <w:pPr>
        <w:spacing w:after="120" w:line="276" w:lineRule="auto"/>
        <w:rPr>
          <w:rFonts w:cs="Arial"/>
          <w:b/>
          <w:color w:val="007E79"/>
          <w:sz w:val="16"/>
          <w:szCs w:val="16"/>
        </w:rPr>
      </w:pPr>
    </w:p>
    <w:p w14:paraId="340E4F33" w14:textId="77777777" w:rsidR="00E52609" w:rsidRDefault="00E52609" w:rsidP="002C2C2B">
      <w:pPr>
        <w:spacing w:after="120" w:line="276" w:lineRule="auto"/>
        <w:rPr>
          <w:rFonts w:cs="Arial"/>
          <w:b/>
          <w:color w:val="007E79"/>
          <w:sz w:val="16"/>
          <w:szCs w:val="16"/>
        </w:rPr>
      </w:pPr>
    </w:p>
    <w:p w14:paraId="592C5EB8" w14:textId="77777777" w:rsidR="00E52609" w:rsidRDefault="00E52609" w:rsidP="002C2C2B">
      <w:pPr>
        <w:spacing w:after="120" w:line="276" w:lineRule="auto"/>
        <w:rPr>
          <w:rFonts w:cs="Arial"/>
          <w:b/>
          <w:color w:val="007E79"/>
          <w:sz w:val="16"/>
          <w:szCs w:val="16"/>
        </w:rPr>
      </w:pPr>
    </w:p>
    <w:p w14:paraId="64A920BD" w14:textId="77777777" w:rsidR="00E52609" w:rsidRDefault="00E52609" w:rsidP="002C2C2B">
      <w:pPr>
        <w:spacing w:after="120" w:line="276" w:lineRule="auto"/>
        <w:rPr>
          <w:rFonts w:cs="Arial"/>
          <w:b/>
          <w:color w:val="007E79"/>
          <w:sz w:val="16"/>
          <w:szCs w:val="16"/>
        </w:rPr>
      </w:pPr>
    </w:p>
    <w:p w14:paraId="5D2F0357" w14:textId="762B2524" w:rsidR="00E52609" w:rsidRDefault="00E52609" w:rsidP="002C2C2B">
      <w:pPr>
        <w:spacing w:after="120" w:line="276" w:lineRule="auto"/>
        <w:rPr>
          <w:rFonts w:cs="Arial"/>
          <w:b/>
          <w:color w:val="007E79"/>
          <w:sz w:val="16"/>
          <w:szCs w:val="16"/>
        </w:rPr>
      </w:pPr>
    </w:p>
    <w:p w14:paraId="703CBA1B" w14:textId="64BC8A87" w:rsidR="00E52609" w:rsidRDefault="00E52609" w:rsidP="002C2C2B">
      <w:pPr>
        <w:spacing w:after="120" w:line="276" w:lineRule="auto"/>
        <w:rPr>
          <w:rFonts w:cs="Arial"/>
          <w:b/>
          <w:color w:val="007E79"/>
          <w:sz w:val="16"/>
          <w:szCs w:val="16"/>
        </w:rPr>
      </w:pPr>
    </w:p>
    <w:p w14:paraId="301B4C76" w14:textId="22512888" w:rsidR="00E52609" w:rsidRDefault="00E52609" w:rsidP="002C2C2B">
      <w:pPr>
        <w:spacing w:after="120" w:line="276" w:lineRule="auto"/>
        <w:rPr>
          <w:rFonts w:cs="Arial"/>
          <w:b/>
          <w:color w:val="007E79"/>
          <w:sz w:val="16"/>
          <w:szCs w:val="16"/>
        </w:rPr>
      </w:pPr>
    </w:p>
    <w:p w14:paraId="1E8C9ED5" w14:textId="13B6186A" w:rsidR="00E52609" w:rsidRDefault="00E52609" w:rsidP="002C2C2B">
      <w:pPr>
        <w:spacing w:after="120" w:line="276" w:lineRule="auto"/>
        <w:rPr>
          <w:rFonts w:cs="Arial"/>
          <w:b/>
          <w:color w:val="007E79"/>
          <w:sz w:val="16"/>
          <w:szCs w:val="16"/>
        </w:rPr>
      </w:pPr>
    </w:p>
    <w:p w14:paraId="4BD3557A" w14:textId="0583014A" w:rsidR="00E52609" w:rsidRDefault="00E52609" w:rsidP="002C2C2B">
      <w:pPr>
        <w:spacing w:after="120" w:line="276" w:lineRule="auto"/>
        <w:rPr>
          <w:rFonts w:cs="Arial"/>
          <w:b/>
          <w:color w:val="007E79"/>
          <w:sz w:val="16"/>
          <w:szCs w:val="16"/>
        </w:rPr>
      </w:pPr>
    </w:p>
    <w:p w14:paraId="0DD530CE" w14:textId="46BDF5CC" w:rsidR="00E52609" w:rsidRDefault="00E52609" w:rsidP="002C2C2B">
      <w:pPr>
        <w:spacing w:after="120" w:line="276" w:lineRule="auto"/>
        <w:rPr>
          <w:rFonts w:cs="Arial"/>
          <w:b/>
          <w:color w:val="007E79"/>
          <w:sz w:val="16"/>
          <w:szCs w:val="16"/>
        </w:rPr>
      </w:pPr>
    </w:p>
    <w:p w14:paraId="2AD9754E" w14:textId="77777777" w:rsidR="00E52609" w:rsidRDefault="00E52609" w:rsidP="002C2C2B">
      <w:pPr>
        <w:spacing w:after="120" w:line="276" w:lineRule="auto"/>
        <w:rPr>
          <w:rFonts w:cs="Arial"/>
          <w:b/>
          <w:color w:val="007E79"/>
          <w:sz w:val="16"/>
          <w:szCs w:val="16"/>
        </w:rPr>
      </w:pPr>
    </w:p>
    <w:p w14:paraId="696E6107" w14:textId="46D5CA70" w:rsidR="00E52609" w:rsidRDefault="00E52609" w:rsidP="002C2C2B">
      <w:pPr>
        <w:spacing w:after="120" w:line="276" w:lineRule="auto"/>
        <w:rPr>
          <w:rFonts w:cs="Arial"/>
          <w:b/>
          <w:color w:val="007E79"/>
          <w:sz w:val="16"/>
          <w:szCs w:val="16"/>
        </w:rPr>
      </w:pPr>
      <w:r>
        <w:rPr>
          <w:rFonts w:cs="Arial"/>
          <w:sz w:val="16"/>
          <w:szCs w:val="16"/>
        </w:rPr>
        <w:t>*</w:t>
      </w:r>
      <w:r w:rsidRPr="00353644">
        <w:rPr>
          <w:rFonts w:cs="Arial"/>
          <w:sz w:val="16"/>
          <w:szCs w:val="16"/>
        </w:rPr>
        <w:t>Pozn. k metodice: Jedná se o nové, refinancované</w:t>
      </w:r>
      <w:r>
        <w:rPr>
          <w:rFonts w:cs="Arial"/>
          <w:sz w:val="16"/>
          <w:szCs w:val="16"/>
        </w:rPr>
        <w:t>,</w:t>
      </w:r>
      <w:r w:rsidRPr="00353644">
        <w:rPr>
          <w:rFonts w:cs="Arial"/>
          <w:sz w:val="16"/>
          <w:szCs w:val="16"/>
        </w:rPr>
        <w:t xml:space="preserve"> </w:t>
      </w:r>
      <w:proofErr w:type="spellStart"/>
      <w:r w:rsidRPr="00353644">
        <w:rPr>
          <w:rFonts w:cs="Arial"/>
          <w:sz w:val="16"/>
          <w:szCs w:val="16"/>
        </w:rPr>
        <w:t>refixované</w:t>
      </w:r>
      <w:proofErr w:type="spellEnd"/>
      <w:r>
        <w:rPr>
          <w:rFonts w:cs="Arial"/>
          <w:sz w:val="16"/>
          <w:szCs w:val="16"/>
        </w:rPr>
        <w:t xml:space="preserve"> či konsolidované</w:t>
      </w:r>
      <w:r w:rsidRPr="00353644">
        <w:rPr>
          <w:rFonts w:cs="Arial"/>
          <w:sz w:val="16"/>
          <w:szCs w:val="16"/>
        </w:rPr>
        <w:t xml:space="preserve"> úvěry od bank i stavebních spořitelen celkem.</w:t>
      </w:r>
    </w:p>
    <w:p w14:paraId="2E7E3D08" w14:textId="6FA00861" w:rsidR="00662C23" w:rsidRPr="00E27F2F" w:rsidRDefault="00047DF1" w:rsidP="002C2C2B">
      <w:pPr>
        <w:spacing w:after="120" w:line="276" w:lineRule="auto"/>
        <w:rPr>
          <w:rFonts w:cs="Arial"/>
          <w:b/>
          <w:color w:val="007E79"/>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14:anchorId="7588D41B" wp14:editId="301C8716">
                <wp:simplePos x="0" y="0"/>
                <wp:positionH relativeFrom="margin">
                  <wp:align>left</wp:align>
                </wp:positionH>
                <wp:positionV relativeFrom="paragraph">
                  <wp:posOffset>67200</wp:posOffset>
                </wp:positionV>
                <wp:extent cx="6582741" cy="1699260"/>
                <wp:effectExtent l="0" t="0" r="889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2741" cy="16992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95F6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219CFB95" w14:textId="77777777" w:rsidR="00873451" w:rsidRDefault="00873451" w:rsidP="00873451">
                            <w:pPr>
                              <w:pStyle w:val="THnorm"/>
                              <w:ind w:firstLine="0"/>
                              <w:rPr>
                                <w:rFonts w:ascii="Arial" w:hAnsi="Arial" w:cs="Arial"/>
                                <w:bCs/>
                                <w:sz w:val="18"/>
                                <w:szCs w:val="18"/>
                              </w:rPr>
                            </w:pPr>
                            <w:r w:rsidRPr="001633ED">
                              <w:rPr>
                                <w:rFonts w:ascii="Arial" w:hAnsi="Arial" w:cs="Arial"/>
                                <w:b/>
                                <w:sz w:val="18"/>
                                <w:szCs w:val="18"/>
                              </w:rPr>
                              <w:t>Vladimír Staňura</w:t>
                            </w:r>
                            <w:r w:rsidRPr="00873451">
                              <w:rPr>
                                <w:rFonts w:ascii="Arial" w:hAnsi="Arial" w:cs="Arial"/>
                                <w:bCs/>
                                <w:sz w:val="18"/>
                                <w:szCs w:val="18"/>
                              </w:rPr>
                              <w:t xml:space="preserve"> je hlavním poradcem České bankovní asociace. Absolvoval Vysokou školu ekonomickou v Praze a na Rotterdam </w:t>
                            </w:r>
                            <w:proofErr w:type="spellStart"/>
                            <w:r w:rsidRPr="00873451">
                              <w:rPr>
                                <w:rFonts w:ascii="Arial" w:hAnsi="Arial" w:cs="Arial"/>
                                <w:bCs/>
                                <w:sz w:val="18"/>
                                <w:szCs w:val="18"/>
                              </w:rPr>
                              <w:t>School</w:t>
                            </w:r>
                            <w:proofErr w:type="spellEnd"/>
                            <w:r w:rsidRPr="00873451">
                              <w:rPr>
                                <w:rFonts w:ascii="Arial" w:hAnsi="Arial" w:cs="Arial"/>
                                <w:bCs/>
                                <w:sz w:val="18"/>
                                <w:szCs w:val="18"/>
                              </w:rPr>
                              <w:t xml:space="preserve"> </w:t>
                            </w:r>
                            <w:proofErr w:type="spellStart"/>
                            <w:r w:rsidRPr="00873451">
                              <w:rPr>
                                <w:rFonts w:ascii="Arial" w:hAnsi="Arial" w:cs="Arial"/>
                                <w:bCs/>
                                <w:sz w:val="18"/>
                                <w:szCs w:val="18"/>
                              </w:rPr>
                              <w:t>of</w:t>
                            </w:r>
                            <w:proofErr w:type="spellEnd"/>
                            <w:r w:rsidRPr="00873451">
                              <w:rPr>
                                <w:rFonts w:ascii="Arial" w:hAnsi="Arial" w:cs="Arial"/>
                                <w:bCs/>
                                <w:sz w:val="18"/>
                                <w:szCs w:val="18"/>
                              </w:rPr>
                              <w:t xml:space="preserve"> Management získal titul MBA. Působil v řadě rolí v domácím i zahraničním bankovnictví. Pro skupinu ČSOB pracoval</w:t>
                            </w:r>
                            <w:r>
                              <w:rPr>
                                <w:rFonts w:ascii="Arial" w:hAnsi="Arial" w:cs="Arial"/>
                                <w:bCs/>
                                <w:sz w:val="18"/>
                                <w:szCs w:val="18"/>
                              </w:rPr>
                              <w:t xml:space="preserve"> více než 35 let</w:t>
                            </w:r>
                            <w:r w:rsidRPr="00873451">
                              <w:rPr>
                                <w:rFonts w:ascii="Arial" w:hAnsi="Arial" w:cs="Arial"/>
                                <w:bCs/>
                                <w:sz w:val="18"/>
                                <w:szCs w:val="18"/>
                              </w:rPr>
                              <w:t xml:space="preserve">.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1E6C59D3" w14:textId="77777777"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3DBEAD33" w14:textId="77777777" w:rsidR="006A7BEA" w:rsidRPr="00873451" w:rsidRDefault="00873451" w:rsidP="00873451">
                            <w:pPr>
                              <w:pStyle w:val="THnorm"/>
                              <w:ind w:firstLine="0"/>
                              <w:rPr>
                                <w:rFonts w:ascii="Arial" w:hAnsi="Arial" w:cs="Arial"/>
                                <w:bCs/>
                                <w:sz w:val="18"/>
                                <w:szCs w:val="18"/>
                              </w:rPr>
                            </w:pPr>
                            <w:r w:rsidRPr="00873451">
                              <w:rPr>
                                <w:rFonts w:ascii="Arial" w:hAnsi="Arial" w:cs="Arial"/>
                                <w:bCs/>
                                <w:sz w:val="18"/>
                                <w:szCs w:val="18"/>
                              </w:rPr>
                              <w:t>Vášnivě miluje rodinu, aktivní sport, čtení, cestování, cizí jazyky.</w:t>
                            </w:r>
                          </w:p>
                          <w:p w14:paraId="5707442F" w14:textId="77777777" w:rsidR="006A7BEA" w:rsidRPr="00FD77C2" w:rsidRDefault="006A7BEA" w:rsidP="00F8461A">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8D41B" id="Obdélník 5" o:spid="_x0000_s1028" style="position:absolute;left:0;text-align:left;margin-left:0;margin-top:5.3pt;width:518.35pt;height:133.8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" fillcolor="#bfbfbf [2412]" stroked="f" strokeweight="1pt">
                <v:textbox inset="3mm,3mm,3mm,3mm">
                  <w:txbxContent>
                    <w:p w14:paraId="2B095F6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219CFB95" w14:textId="77777777" w:rsidR="00873451" w:rsidRDefault="00873451" w:rsidP="00873451">
                      <w:pPr>
                        <w:pStyle w:val="THnorm"/>
                        <w:ind w:firstLine="0"/>
                        <w:rPr>
                          <w:rFonts w:ascii="Arial" w:hAnsi="Arial" w:cs="Arial"/>
                          <w:bCs/>
                          <w:sz w:val="18"/>
                          <w:szCs w:val="18"/>
                        </w:rPr>
                      </w:pPr>
                      <w:r w:rsidRPr="001633ED">
                        <w:rPr>
                          <w:rFonts w:ascii="Arial" w:hAnsi="Arial" w:cs="Arial"/>
                          <w:b/>
                          <w:sz w:val="18"/>
                          <w:szCs w:val="18"/>
                        </w:rPr>
                        <w:t>Vladimír Staňura</w:t>
                      </w:r>
                      <w:r w:rsidRPr="00873451">
                        <w:rPr>
                          <w:rFonts w:ascii="Arial" w:hAnsi="Arial" w:cs="Arial"/>
                          <w:bCs/>
                          <w:sz w:val="18"/>
                          <w:szCs w:val="18"/>
                        </w:rPr>
                        <w:t xml:space="preserve"> je hlavním poradcem České bankovní asociace. Absolvoval Vysokou školu ekonomickou v Praze a na Rotterdam </w:t>
                      </w:r>
                      <w:proofErr w:type="spellStart"/>
                      <w:r w:rsidRPr="00873451">
                        <w:rPr>
                          <w:rFonts w:ascii="Arial" w:hAnsi="Arial" w:cs="Arial"/>
                          <w:bCs/>
                          <w:sz w:val="18"/>
                          <w:szCs w:val="18"/>
                        </w:rPr>
                        <w:t>School</w:t>
                      </w:r>
                      <w:proofErr w:type="spellEnd"/>
                      <w:r w:rsidRPr="00873451">
                        <w:rPr>
                          <w:rFonts w:ascii="Arial" w:hAnsi="Arial" w:cs="Arial"/>
                          <w:bCs/>
                          <w:sz w:val="18"/>
                          <w:szCs w:val="18"/>
                        </w:rPr>
                        <w:t xml:space="preserve"> </w:t>
                      </w:r>
                      <w:proofErr w:type="spellStart"/>
                      <w:r w:rsidRPr="00873451">
                        <w:rPr>
                          <w:rFonts w:ascii="Arial" w:hAnsi="Arial" w:cs="Arial"/>
                          <w:bCs/>
                          <w:sz w:val="18"/>
                          <w:szCs w:val="18"/>
                        </w:rPr>
                        <w:t>of</w:t>
                      </w:r>
                      <w:proofErr w:type="spellEnd"/>
                      <w:r w:rsidRPr="00873451">
                        <w:rPr>
                          <w:rFonts w:ascii="Arial" w:hAnsi="Arial" w:cs="Arial"/>
                          <w:bCs/>
                          <w:sz w:val="18"/>
                          <w:szCs w:val="18"/>
                        </w:rPr>
                        <w:t xml:space="preserve"> Management získal titul MBA. Působil v řadě rolí v domácím i zahraničním bankovnictví. Pro skupinu ČSOB pracoval</w:t>
                      </w:r>
                      <w:r>
                        <w:rPr>
                          <w:rFonts w:ascii="Arial" w:hAnsi="Arial" w:cs="Arial"/>
                          <w:bCs/>
                          <w:sz w:val="18"/>
                          <w:szCs w:val="18"/>
                        </w:rPr>
                        <w:t xml:space="preserve"> více než 35 let</w:t>
                      </w:r>
                      <w:r w:rsidRPr="00873451">
                        <w:rPr>
                          <w:rFonts w:ascii="Arial" w:hAnsi="Arial" w:cs="Arial"/>
                          <w:bCs/>
                          <w:sz w:val="18"/>
                          <w:szCs w:val="18"/>
                        </w:rPr>
                        <w:t xml:space="preserve">. Z toho v letech 1991 až 2003 byl členem jejího představenstva. Jeho hlavní odpovědností bylo korporátní bankovnictví, poté retailové bankovnictví a IT včetně elektronického bankovnictví. V letech 2003 až 2017 byl předsedou představenstva Českomoravské stavební spořitelny, zkráceně Lišky. </w:t>
                      </w:r>
                    </w:p>
                    <w:p w14:paraId="1E6C59D3" w14:textId="77777777" w:rsidR="00873451" w:rsidRDefault="00873451" w:rsidP="00873451">
                      <w:pPr>
                        <w:pStyle w:val="THnorm"/>
                        <w:ind w:firstLine="0"/>
                        <w:rPr>
                          <w:rFonts w:ascii="Arial" w:hAnsi="Arial" w:cs="Arial"/>
                          <w:bCs/>
                          <w:sz w:val="18"/>
                          <w:szCs w:val="18"/>
                        </w:rPr>
                      </w:pPr>
                      <w:r w:rsidRPr="00873451">
                        <w:rPr>
                          <w:rFonts w:ascii="Arial" w:hAnsi="Arial" w:cs="Arial"/>
                          <w:bCs/>
                          <w:sz w:val="18"/>
                          <w:szCs w:val="18"/>
                        </w:rPr>
                        <w:t xml:space="preserve">Od r. 2018 pracuje pro Českou bankovní asociaci, za kterou působí ve správní radě Garančního systému finančního trhu. Kromě toho se věnuje jako poradce ČBA otázkám bydlení a jeho financování. </w:t>
                      </w:r>
                    </w:p>
                    <w:p w14:paraId="3DBEAD33" w14:textId="77777777" w:rsidR="006A7BEA" w:rsidRPr="00873451" w:rsidRDefault="00873451" w:rsidP="00873451">
                      <w:pPr>
                        <w:pStyle w:val="THnorm"/>
                        <w:ind w:firstLine="0"/>
                        <w:rPr>
                          <w:rFonts w:ascii="Arial" w:hAnsi="Arial" w:cs="Arial"/>
                          <w:bCs/>
                          <w:sz w:val="18"/>
                          <w:szCs w:val="18"/>
                        </w:rPr>
                      </w:pPr>
                      <w:r w:rsidRPr="00873451">
                        <w:rPr>
                          <w:rFonts w:ascii="Arial" w:hAnsi="Arial" w:cs="Arial"/>
                          <w:bCs/>
                          <w:sz w:val="18"/>
                          <w:szCs w:val="18"/>
                        </w:rPr>
                        <w:t>Vášnivě miluje rodinu, aktivní sport, čtení, cestování, cizí jazyky.</w:t>
                      </w:r>
                    </w:p>
                    <w:p w14:paraId="5707442F" w14:textId="77777777" w:rsidR="006A7BEA" w:rsidRPr="00FD77C2" w:rsidRDefault="006A7BEA" w:rsidP="00F8461A">
                      <w:pPr>
                        <w:spacing w:after="120" w:line="276" w:lineRule="auto"/>
                        <w:contextualSpacing/>
                        <w:rPr>
                          <w:rFonts w:cs="Arial"/>
                          <w:sz w:val="22"/>
                          <w:szCs w:val="22"/>
                        </w:rPr>
                      </w:pPr>
                    </w:p>
                  </w:txbxContent>
                </v:textbox>
                <w10:wrap anchorx="margin"/>
              </v:rect>
            </w:pict>
          </mc:Fallback>
        </mc:AlternateContent>
      </w:r>
    </w:p>
    <w:p w14:paraId="3BF82629" w14:textId="77777777" w:rsidR="00662C23" w:rsidRDefault="00662C23" w:rsidP="002C2C2B">
      <w:pPr>
        <w:spacing w:after="120" w:line="276" w:lineRule="auto"/>
        <w:rPr>
          <w:rFonts w:cs="Arial"/>
          <w:b/>
          <w:color w:val="007E79"/>
          <w:sz w:val="16"/>
          <w:szCs w:val="16"/>
        </w:rPr>
      </w:pPr>
    </w:p>
    <w:p w14:paraId="39DCCCF6" w14:textId="77777777" w:rsidR="00D36238" w:rsidRDefault="00D36238" w:rsidP="002C2C2B">
      <w:pPr>
        <w:spacing w:after="120" w:line="276" w:lineRule="auto"/>
        <w:rPr>
          <w:rFonts w:cs="Arial"/>
          <w:b/>
          <w:color w:val="007E79"/>
          <w:sz w:val="16"/>
          <w:szCs w:val="16"/>
        </w:rPr>
      </w:pPr>
    </w:p>
    <w:p w14:paraId="66AFB994" w14:textId="77777777" w:rsidR="00D36238" w:rsidRDefault="00D36238" w:rsidP="002C2C2B">
      <w:pPr>
        <w:spacing w:after="120" w:line="276" w:lineRule="auto"/>
        <w:rPr>
          <w:rFonts w:cs="Arial"/>
          <w:b/>
          <w:color w:val="007E79"/>
          <w:sz w:val="16"/>
          <w:szCs w:val="16"/>
        </w:rPr>
      </w:pPr>
    </w:p>
    <w:p w14:paraId="7E6F5627" w14:textId="77777777" w:rsidR="00D36238" w:rsidRPr="00E27F2F" w:rsidRDefault="00D36238" w:rsidP="002C2C2B">
      <w:pPr>
        <w:spacing w:after="120" w:line="276" w:lineRule="auto"/>
        <w:rPr>
          <w:rFonts w:cs="Arial"/>
          <w:b/>
          <w:color w:val="007E79"/>
          <w:sz w:val="16"/>
          <w:szCs w:val="16"/>
        </w:rPr>
      </w:pPr>
    </w:p>
    <w:p w14:paraId="10490BE2" w14:textId="77777777" w:rsidR="00662C23" w:rsidRPr="00E27F2F" w:rsidRDefault="00662C23" w:rsidP="002C2C2B">
      <w:pPr>
        <w:spacing w:after="120" w:line="276" w:lineRule="auto"/>
        <w:rPr>
          <w:rFonts w:cs="Arial"/>
          <w:b/>
          <w:color w:val="007E79"/>
          <w:sz w:val="16"/>
          <w:szCs w:val="16"/>
        </w:rPr>
      </w:pPr>
    </w:p>
    <w:p w14:paraId="5D599E5D" w14:textId="77777777" w:rsidR="00AB0ED1" w:rsidRPr="00E27F2F" w:rsidRDefault="00AB0ED1" w:rsidP="008B1C16">
      <w:pPr>
        <w:spacing w:line="276" w:lineRule="auto"/>
        <w:contextualSpacing/>
        <w:rPr>
          <w:rFonts w:cs="Arial"/>
          <w:sz w:val="16"/>
          <w:szCs w:val="16"/>
        </w:rPr>
      </w:pPr>
    </w:p>
    <w:p w14:paraId="521D37A4" w14:textId="77777777" w:rsidR="00FF052C" w:rsidRPr="00E27F2F" w:rsidRDefault="00FF052C" w:rsidP="008B1C16">
      <w:pPr>
        <w:spacing w:line="276" w:lineRule="auto"/>
        <w:contextualSpacing/>
        <w:rPr>
          <w:rFonts w:cs="Arial"/>
          <w:sz w:val="16"/>
          <w:szCs w:val="16"/>
        </w:rPr>
      </w:pPr>
    </w:p>
    <w:p w14:paraId="45EC70F5" w14:textId="77777777" w:rsidR="00FF052C" w:rsidRPr="00E27F2F" w:rsidRDefault="00FF052C" w:rsidP="008B1C16">
      <w:pPr>
        <w:spacing w:line="276" w:lineRule="auto"/>
        <w:contextualSpacing/>
        <w:rPr>
          <w:rFonts w:cs="Arial"/>
          <w:sz w:val="16"/>
          <w:szCs w:val="16"/>
        </w:rPr>
      </w:pPr>
    </w:p>
    <w:p w14:paraId="1AB653CD" w14:textId="77777777" w:rsidR="00FF052C" w:rsidRPr="00E27F2F" w:rsidRDefault="00FF052C" w:rsidP="008B1C16">
      <w:pPr>
        <w:spacing w:line="276" w:lineRule="auto"/>
        <w:contextualSpacing/>
        <w:rPr>
          <w:rFonts w:cs="Arial"/>
          <w:sz w:val="16"/>
          <w:szCs w:val="16"/>
        </w:rPr>
      </w:pPr>
    </w:p>
    <w:p w14:paraId="5FB9AF6B" w14:textId="77777777" w:rsidR="00FF052C" w:rsidRPr="00E27F2F" w:rsidRDefault="00FD77C2"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14:anchorId="70D3B697" wp14:editId="0510B565">
                <wp:simplePos x="0" y="0"/>
                <wp:positionH relativeFrom="margin">
                  <wp:posOffset>4396105</wp:posOffset>
                </wp:positionH>
                <wp:positionV relativeFrom="paragraph">
                  <wp:posOffset>10160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D0A7AB"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63BD2C87"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B6215FA" w14:textId="77777777" w:rsidR="0065124E" w:rsidRPr="00F2719D" w:rsidRDefault="0065124E" w:rsidP="00044002">
                            <w:pPr>
                              <w:spacing w:line="276" w:lineRule="auto"/>
                              <w:jc w:val="left"/>
                              <w:rPr>
                                <w:rFonts w:cs="Arial"/>
                                <w:b/>
                                <w:color w:val="FFFFFF" w:themeColor="background1"/>
                                <w:szCs w:val="18"/>
                              </w:rPr>
                            </w:pPr>
                          </w:p>
                          <w:p w14:paraId="2CF1F6FB"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599CC908"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6ED92D8B" w14:textId="05ECC234" w:rsidR="0065124E" w:rsidRPr="00F2719D" w:rsidRDefault="004555E6"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1CB50E15"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8E9F459" w14:textId="77777777"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D3B697" id="_x0000_s1029" style="position:absolute;left:0;text-align:left;margin-left:346.15pt;margin-top:.8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" fillcolor="#007e79" stroked="f" strokeweight="1pt">
                <v:fill opacity="56283f"/>
                <v:textbox inset="3mm,3mm,3mm,3mm">
                  <w:txbxContent>
                    <w:p w14:paraId="54D0A7AB"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63BD2C87"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B6215FA" w14:textId="77777777" w:rsidR="0065124E" w:rsidRPr="00F2719D" w:rsidRDefault="0065124E" w:rsidP="00044002">
                      <w:pPr>
                        <w:spacing w:line="276" w:lineRule="auto"/>
                        <w:jc w:val="left"/>
                        <w:rPr>
                          <w:rFonts w:cs="Arial"/>
                          <w:b/>
                          <w:color w:val="FFFFFF" w:themeColor="background1"/>
                          <w:szCs w:val="18"/>
                        </w:rPr>
                      </w:pPr>
                    </w:p>
                    <w:p w14:paraId="2CF1F6FB"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599CC908"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6ED92D8B" w14:textId="05ECC234" w:rsidR="0065124E" w:rsidRPr="00F2719D" w:rsidRDefault="004555E6"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1CB50E15"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8E9F459" w14:textId="77777777"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14:anchorId="6D0BA4F4" wp14:editId="72C4067F">
                <wp:simplePos x="0" y="0"/>
                <wp:positionH relativeFrom="margin">
                  <wp:align>left</wp:align>
                </wp:positionH>
                <wp:positionV relativeFrom="paragraph">
                  <wp:posOffset>10160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E2C6A"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63AAED65" w14:textId="27D01E67" w:rsidR="0065124E" w:rsidRPr="009F3268" w:rsidRDefault="0065124E" w:rsidP="00060D7F">
                            <w:pPr>
                              <w:pStyle w:val="Standard"/>
                              <w:spacing w:line="276" w:lineRule="auto"/>
                              <w:jc w:val="left"/>
                              <w:rPr>
                                <w:rFonts w:cs="Arial"/>
                                <w:szCs w:val="18"/>
                              </w:rPr>
                            </w:pPr>
                            <w:r w:rsidRPr="009F3268">
                              <w:rPr>
                                <w:rFonts w:cs="Arial"/>
                                <w:szCs w:val="18"/>
                              </w:rPr>
                              <w:t xml:space="preserve">Česká bankovní asociace vznikla v roce 1990 a je dobrovolným sdružením právnických osob podnikajících v oblasti peněžnictví. V současné době sdružuje </w:t>
                            </w:r>
                            <w:r w:rsidR="00E52609">
                              <w:rPr>
                                <w:rFonts w:cs="Arial"/>
                                <w:szCs w:val="18"/>
                              </w:rPr>
                              <w:t>40</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BA4F4" id="Obdélník 199" o:spid="_x0000_s1030" style="position:absolute;left:0;text-align:left;margin-left:0;margin-top:.8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" fillcolor="#bfbfbf [2412]" stroked="f" strokeweight="1pt">
                <v:textbox inset="3mm,3mm,3mm,3mm">
                  <w:txbxContent>
                    <w:p w14:paraId="7E6E2C6A"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63AAED65" w14:textId="27D01E67" w:rsidR="0065124E" w:rsidRPr="009F3268" w:rsidRDefault="0065124E" w:rsidP="00060D7F">
                      <w:pPr>
                        <w:pStyle w:val="Standard"/>
                        <w:spacing w:line="276" w:lineRule="auto"/>
                        <w:jc w:val="left"/>
                        <w:rPr>
                          <w:rFonts w:cs="Arial"/>
                          <w:szCs w:val="18"/>
                        </w:rPr>
                      </w:pPr>
                      <w:r w:rsidRPr="009F3268">
                        <w:rPr>
                          <w:rFonts w:cs="Arial"/>
                          <w:szCs w:val="18"/>
                        </w:rPr>
                        <w:t xml:space="preserve">Česká bankovní asociace vznikla v roce 1990 a je dobrovolným sdružením právnických osob podnikajících v oblasti peněžnictví. V současné době sdružuje </w:t>
                      </w:r>
                      <w:r w:rsidR="00E52609">
                        <w:rPr>
                          <w:rFonts w:cs="Arial"/>
                          <w:szCs w:val="18"/>
                        </w:rPr>
                        <w:t>40</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14:paraId="718B94CD" w14:textId="77777777" w:rsidR="00FF052C" w:rsidRPr="00E27F2F" w:rsidRDefault="00FF052C" w:rsidP="008B1C16">
      <w:pPr>
        <w:spacing w:line="276" w:lineRule="auto"/>
        <w:contextualSpacing/>
        <w:rPr>
          <w:rFonts w:cs="Arial"/>
          <w:sz w:val="16"/>
          <w:szCs w:val="16"/>
        </w:rPr>
      </w:pPr>
    </w:p>
    <w:p w14:paraId="12D8831F" w14:textId="77777777" w:rsidR="00FF052C" w:rsidRPr="00E27F2F" w:rsidRDefault="00FF052C" w:rsidP="008B1C16">
      <w:pPr>
        <w:spacing w:line="276" w:lineRule="auto"/>
        <w:contextualSpacing/>
        <w:rPr>
          <w:rFonts w:cs="Arial"/>
          <w:sz w:val="16"/>
          <w:szCs w:val="16"/>
        </w:rPr>
      </w:pPr>
    </w:p>
    <w:p w14:paraId="172AFF7A" w14:textId="77777777" w:rsidR="00E373B4" w:rsidRPr="00E27F2F" w:rsidRDefault="00E373B4" w:rsidP="008B1C16">
      <w:pPr>
        <w:spacing w:line="276" w:lineRule="auto"/>
        <w:contextualSpacing/>
        <w:rPr>
          <w:rFonts w:cs="Arial"/>
          <w:sz w:val="16"/>
          <w:szCs w:val="16"/>
        </w:rPr>
      </w:pPr>
    </w:p>
    <w:p w14:paraId="67979C2C" w14:textId="77777777" w:rsidR="004F6EA8" w:rsidRPr="00E27F2F" w:rsidRDefault="004F6EA8" w:rsidP="008B1C16">
      <w:pPr>
        <w:spacing w:line="276" w:lineRule="auto"/>
        <w:contextualSpacing/>
        <w:jc w:val="center"/>
        <w:rPr>
          <w:rFonts w:cs="Arial"/>
          <w:sz w:val="16"/>
          <w:szCs w:val="16"/>
        </w:rPr>
      </w:pPr>
    </w:p>
    <w:p w14:paraId="3E4F2E4F" w14:textId="77777777"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14:paraId="7EB05CDE" w14:textId="77777777" w:rsidR="00F8461A" w:rsidRPr="00E27F2F" w:rsidRDefault="00F8461A" w:rsidP="008B1C16">
      <w:pPr>
        <w:spacing w:line="276" w:lineRule="auto"/>
        <w:contextualSpacing/>
        <w:rPr>
          <w:rFonts w:cs="Arial"/>
          <w:sz w:val="16"/>
          <w:szCs w:val="16"/>
        </w:rPr>
      </w:pPr>
    </w:p>
    <w:p w14:paraId="4EE7BE7D" w14:textId="77777777" w:rsidR="00F8461A" w:rsidRPr="00E27F2F" w:rsidRDefault="00F8461A" w:rsidP="008B1C16">
      <w:pPr>
        <w:spacing w:line="276" w:lineRule="auto"/>
        <w:contextualSpacing/>
        <w:rPr>
          <w:rFonts w:cs="Arial"/>
          <w:sz w:val="16"/>
          <w:szCs w:val="16"/>
        </w:rPr>
      </w:pPr>
    </w:p>
    <w:p w14:paraId="2B839568" w14:textId="77777777" w:rsidR="00F8461A" w:rsidRPr="00E27F2F" w:rsidRDefault="00F8461A" w:rsidP="008B1C16">
      <w:pPr>
        <w:spacing w:line="276" w:lineRule="auto"/>
        <w:contextualSpacing/>
        <w:rPr>
          <w:rFonts w:cs="Arial"/>
          <w:sz w:val="16"/>
          <w:szCs w:val="16"/>
        </w:rPr>
      </w:pPr>
    </w:p>
    <w:p w14:paraId="25136EA7" w14:textId="77777777" w:rsidR="00B85546" w:rsidRPr="00E27F2F" w:rsidRDefault="00B85546" w:rsidP="008B1C16">
      <w:pPr>
        <w:spacing w:line="276" w:lineRule="auto"/>
        <w:contextualSpacing/>
        <w:rPr>
          <w:rFonts w:eastAsiaTheme="minorEastAsia" w:cs="Arial"/>
          <w:sz w:val="16"/>
          <w:szCs w:val="18"/>
        </w:rPr>
      </w:pPr>
    </w:p>
    <w:sectPr w:rsidR="00B85546" w:rsidRPr="00E27F2F" w:rsidSect="0014354F">
      <w:headerReference w:type="default" r:id="rId12"/>
      <w:footerReference w:type="default" r:id="rId13"/>
      <w:pgSz w:w="11906" w:h="16838"/>
      <w:pgMar w:top="2410" w:right="849" w:bottom="993"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CE9AD" w14:textId="77777777" w:rsidR="005F5AEF" w:rsidRDefault="005F5AEF" w:rsidP="00F573F1">
      <w:r>
        <w:separator/>
      </w:r>
    </w:p>
  </w:endnote>
  <w:endnote w:type="continuationSeparator" w:id="0">
    <w:p w14:paraId="433D5510" w14:textId="77777777" w:rsidR="005F5AEF" w:rsidRDefault="005F5AEF"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4"/>
      </w:rPr>
      <w:id w:val="211002874"/>
      <w:docPartObj>
        <w:docPartGallery w:val="Page Numbers (Bottom of Page)"/>
        <w:docPartUnique/>
      </w:docPartObj>
    </w:sdtPr>
    <w:sdtEndPr/>
    <w:sdtContent>
      <w:p w14:paraId="6624E269" w14:textId="77777777"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14:paraId="300EB588" w14:textId="77777777"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83714" w14:textId="77777777" w:rsidR="005F5AEF" w:rsidRDefault="005F5AEF" w:rsidP="00F573F1">
      <w:r>
        <w:separator/>
      </w:r>
    </w:p>
  </w:footnote>
  <w:footnote w:type="continuationSeparator" w:id="0">
    <w:p w14:paraId="6F0441EC" w14:textId="77777777" w:rsidR="005F5AEF" w:rsidRDefault="005F5AEF"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4485" w14:textId="77777777" w:rsidR="0065124E" w:rsidRDefault="0065124E">
    <w:pPr>
      <w:pStyle w:val="Zhlav"/>
    </w:pPr>
    <w:r>
      <w:rPr>
        <w:noProof/>
      </w:rPr>
      <w:drawing>
        <wp:anchor distT="0" distB="0" distL="114300" distR="114300" simplePos="0" relativeHeight="251659264" behindDoc="1" locked="0" layoutInCell="1" allowOverlap="1" wp14:anchorId="10B6BA88" wp14:editId="4D1EA0BD">
          <wp:simplePos x="0" y="0"/>
          <wp:positionH relativeFrom="page">
            <wp:posOffset>112395</wp:posOffset>
          </wp:positionH>
          <wp:positionV relativeFrom="paragraph">
            <wp:posOffset>-413385</wp:posOffset>
          </wp:positionV>
          <wp:extent cx="3196206" cy="1612900"/>
          <wp:effectExtent l="0" t="0" r="4445" b="6350"/>
          <wp:wrapNone/>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1BA0914"/>
    <w:multiLevelType w:val="hybridMultilevel"/>
    <w:tmpl w:val="EECE1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8"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20"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2"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70DE4F03"/>
    <w:multiLevelType w:val="hybridMultilevel"/>
    <w:tmpl w:val="D458DCC2"/>
    <w:lvl w:ilvl="0" w:tplc="ABAA372A">
      <w:start w:val="3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3"/>
  </w:num>
  <w:num w:numId="4">
    <w:abstractNumId w:val="13"/>
  </w:num>
  <w:num w:numId="5">
    <w:abstractNumId w:val="3"/>
  </w:num>
  <w:num w:numId="6">
    <w:abstractNumId w:val="21"/>
  </w:num>
  <w:num w:numId="7">
    <w:abstractNumId w:val="5"/>
  </w:num>
  <w:num w:numId="8">
    <w:abstractNumId w:val="26"/>
  </w:num>
  <w:num w:numId="9">
    <w:abstractNumId w:val="4"/>
  </w:num>
  <w:num w:numId="10">
    <w:abstractNumId w:val="22"/>
  </w:num>
  <w:num w:numId="11">
    <w:abstractNumId w:val="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7"/>
  </w:num>
  <w:num w:numId="17">
    <w:abstractNumId w:val="10"/>
  </w:num>
  <w:num w:numId="18">
    <w:abstractNumId w:val="16"/>
  </w:num>
  <w:num w:numId="19">
    <w:abstractNumId w:val="18"/>
  </w:num>
  <w:num w:numId="20">
    <w:abstractNumId w:val="9"/>
  </w:num>
  <w:num w:numId="21">
    <w:abstractNumId w:val="0"/>
  </w:num>
  <w:num w:numId="22">
    <w:abstractNumId w:val="20"/>
  </w:num>
  <w:num w:numId="23">
    <w:abstractNumId w:val="25"/>
  </w:num>
  <w:num w:numId="24">
    <w:abstractNumId w:val="19"/>
  </w:num>
  <w:num w:numId="25">
    <w:abstractNumId w:val="15"/>
  </w:num>
  <w:num w:numId="26">
    <w:abstractNumId w:val="12"/>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0A9E"/>
    <w:rsid w:val="000054D2"/>
    <w:rsid w:val="00010564"/>
    <w:rsid w:val="000118C2"/>
    <w:rsid w:val="00015933"/>
    <w:rsid w:val="000159E5"/>
    <w:rsid w:val="00020581"/>
    <w:rsid w:val="00020FE5"/>
    <w:rsid w:val="000213CC"/>
    <w:rsid w:val="00023E9F"/>
    <w:rsid w:val="0002473E"/>
    <w:rsid w:val="00037707"/>
    <w:rsid w:val="00043889"/>
    <w:rsid w:val="00044002"/>
    <w:rsid w:val="000444EA"/>
    <w:rsid w:val="00047DF1"/>
    <w:rsid w:val="00050AF7"/>
    <w:rsid w:val="00051A5B"/>
    <w:rsid w:val="000559DE"/>
    <w:rsid w:val="00056A4F"/>
    <w:rsid w:val="00057396"/>
    <w:rsid w:val="00060D7F"/>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02FD"/>
    <w:rsid w:val="000F61D0"/>
    <w:rsid w:val="000F70CA"/>
    <w:rsid w:val="00100350"/>
    <w:rsid w:val="0010268F"/>
    <w:rsid w:val="0010277A"/>
    <w:rsid w:val="0010673E"/>
    <w:rsid w:val="001126B2"/>
    <w:rsid w:val="0011443F"/>
    <w:rsid w:val="00116F4B"/>
    <w:rsid w:val="00123FF9"/>
    <w:rsid w:val="00126F1D"/>
    <w:rsid w:val="00131E94"/>
    <w:rsid w:val="0014354F"/>
    <w:rsid w:val="00143DCC"/>
    <w:rsid w:val="00144D53"/>
    <w:rsid w:val="00145E7A"/>
    <w:rsid w:val="00146F46"/>
    <w:rsid w:val="0015125A"/>
    <w:rsid w:val="0015295E"/>
    <w:rsid w:val="001622C2"/>
    <w:rsid w:val="001633ED"/>
    <w:rsid w:val="00165DDC"/>
    <w:rsid w:val="0017441E"/>
    <w:rsid w:val="00175A85"/>
    <w:rsid w:val="00176C20"/>
    <w:rsid w:val="00195C6D"/>
    <w:rsid w:val="001A2623"/>
    <w:rsid w:val="001A46CC"/>
    <w:rsid w:val="001A6304"/>
    <w:rsid w:val="001A757E"/>
    <w:rsid w:val="001B7C65"/>
    <w:rsid w:val="001C091C"/>
    <w:rsid w:val="001C2261"/>
    <w:rsid w:val="001C6945"/>
    <w:rsid w:val="001C7F88"/>
    <w:rsid w:val="001D5BB9"/>
    <w:rsid w:val="001E15FD"/>
    <w:rsid w:val="001E27B8"/>
    <w:rsid w:val="001E6F5D"/>
    <w:rsid w:val="001F3DF4"/>
    <w:rsid w:val="001F5CF7"/>
    <w:rsid w:val="00201DDA"/>
    <w:rsid w:val="002045A5"/>
    <w:rsid w:val="002137B0"/>
    <w:rsid w:val="00217881"/>
    <w:rsid w:val="0022075B"/>
    <w:rsid w:val="00221FF5"/>
    <w:rsid w:val="00225F51"/>
    <w:rsid w:val="0022648E"/>
    <w:rsid w:val="00226F32"/>
    <w:rsid w:val="00227ACD"/>
    <w:rsid w:val="0023303D"/>
    <w:rsid w:val="002375B2"/>
    <w:rsid w:val="002443DF"/>
    <w:rsid w:val="00244923"/>
    <w:rsid w:val="002472A6"/>
    <w:rsid w:val="00247512"/>
    <w:rsid w:val="0025305E"/>
    <w:rsid w:val="00253D09"/>
    <w:rsid w:val="002567A3"/>
    <w:rsid w:val="00262B7F"/>
    <w:rsid w:val="00266980"/>
    <w:rsid w:val="00267ACA"/>
    <w:rsid w:val="00270392"/>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4743"/>
    <w:rsid w:val="00327407"/>
    <w:rsid w:val="00335341"/>
    <w:rsid w:val="00341D86"/>
    <w:rsid w:val="003472AF"/>
    <w:rsid w:val="003508FE"/>
    <w:rsid w:val="00351369"/>
    <w:rsid w:val="00353644"/>
    <w:rsid w:val="00356FF7"/>
    <w:rsid w:val="003608FD"/>
    <w:rsid w:val="0036420C"/>
    <w:rsid w:val="00366057"/>
    <w:rsid w:val="003677E2"/>
    <w:rsid w:val="00370F35"/>
    <w:rsid w:val="003739F0"/>
    <w:rsid w:val="00376918"/>
    <w:rsid w:val="00376F07"/>
    <w:rsid w:val="00380502"/>
    <w:rsid w:val="00380788"/>
    <w:rsid w:val="003847A3"/>
    <w:rsid w:val="003864AF"/>
    <w:rsid w:val="00391C4B"/>
    <w:rsid w:val="00391FA6"/>
    <w:rsid w:val="003952ED"/>
    <w:rsid w:val="00396F9D"/>
    <w:rsid w:val="00397430"/>
    <w:rsid w:val="003A0F5E"/>
    <w:rsid w:val="003A5636"/>
    <w:rsid w:val="003A623D"/>
    <w:rsid w:val="003B0433"/>
    <w:rsid w:val="003B04C1"/>
    <w:rsid w:val="003B2C84"/>
    <w:rsid w:val="003B4F01"/>
    <w:rsid w:val="003B5E6F"/>
    <w:rsid w:val="003C12B6"/>
    <w:rsid w:val="003C373E"/>
    <w:rsid w:val="003C3D7F"/>
    <w:rsid w:val="003C6326"/>
    <w:rsid w:val="003D079C"/>
    <w:rsid w:val="003D224C"/>
    <w:rsid w:val="003E14DF"/>
    <w:rsid w:val="003E3DCB"/>
    <w:rsid w:val="003E4ADE"/>
    <w:rsid w:val="003E5891"/>
    <w:rsid w:val="003F021E"/>
    <w:rsid w:val="003F03DF"/>
    <w:rsid w:val="003F1CB9"/>
    <w:rsid w:val="003F4201"/>
    <w:rsid w:val="003F7F31"/>
    <w:rsid w:val="00402FA1"/>
    <w:rsid w:val="00403744"/>
    <w:rsid w:val="004050B6"/>
    <w:rsid w:val="0041521E"/>
    <w:rsid w:val="00425B3B"/>
    <w:rsid w:val="004325D3"/>
    <w:rsid w:val="004371EE"/>
    <w:rsid w:val="00437589"/>
    <w:rsid w:val="00444BDA"/>
    <w:rsid w:val="00445609"/>
    <w:rsid w:val="004476C2"/>
    <w:rsid w:val="00451368"/>
    <w:rsid w:val="004555E6"/>
    <w:rsid w:val="00462717"/>
    <w:rsid w:val="004641CC"/>
    <w:rsid w:val="0046651A"/>
    <w:rsid w:val="004714FB"/>
    <w:rsid w:val="00472210"/>
    <w:rsid w:val="0047757F"/>
    <w:rsid w:val="00477AF5"/>
    <w:rsid w:val="004821B3"/>
    <w:rsid w:val="0048354D"/>
    <w:rsid w:val="0048489E"/>
    <w:rsid w:val="00490E1A"/>
    <w:rsid w:val="00492636"/>
    <w:rsid w:val="004979BF"/>
    <w:rsid w:val="004A1724"/>
    <w:rsid w:val="004A435C"/>
    <w:rsid w:val="004A53BB"/>
    <w:rsid w:val="004A6CE0"/>
    <w:rsid w:val="004A74F4"/>
    <w:rsid w:val="004B1766"/>
    <w:rsid w:val="004B7ECE"/>
    <w:rsid w:val="004C0A56"/>
    <w:rsid w:val="004C50BF"/>
    <w:rsid w:val="004C751A"/>
    <w:rsid w:val="004D4333"/>
    <w:rsid w:val="004D6531"/>
    <w:rsid w:val="004E011D"/>
    <w:rsid w:val="004E1AC6"/>
    <w:rsid w:val="004E4B5B"/>
    <w:rsid w:val="004F1636"/>
    <w:rsid w:val="004F6CFB"/>
    <w:rsid w:val="004F6EA8"/>
    <w:rsid w:val="004F70A7"/>
    <w:rsid w:val="005069C2"/>
    <w:rsid w:val="0051164C"/>
    <w:rsid w:val="00512176"/>
    <w:rsid w:val="00517111"/>
    <w:rsid w:val="005208BD"/>
    <w:rsid w:val="00521FF6"/>
    <w:rsid w:val="0053589B"/>
    <w:rsid w:val="00537D95"/>
    <w:rsid w:val="00546646"/>
    <w:rsid w:val="005468E0"/>
    <w:rsid w:val="0055016A"/>
    <w:rsid w:val="00552694"/>
    <w:rsid w:val="0055377C"/>
    <w:rsid w:val="00554717"/>
    <w:rsid w:val="00556DE6"/>
    <w:rsid w:val="00561ED7"/>
    <w:rsid w:val="005642DD"/>
    <w:rsid w:val="00564453"/>
    <w:rsid w:val="005666D7"/>
    <w:rsid w:val="005702EF"/>
    <w:rsid w:val="00571BEE"/>
    <w:rsid w:val="00571C08"/>
    <w:rsid w:val="00573F62"/>
    <w:rsid w:val="00576C13"/>
    <w:rsid w:val="00576CF4"/>
    <w:rsid w:val="00584718"/>
    <w:rsid w:val="00584D4C"/>
    <w:rsid w:val="00587350"/>
    <w:rsid w:val="0059556C"/>
    <w:rsid w:val="005A0C34"/>
    <w:rsid w:val="005A2501"/>
    <w:rsid w:val="005A34B6"/>
    <w:rsid w:val="005A3E34"/>
    <w:rsid w:val="005A44FF"/>
    <w:rsid w:val="005A51C6"/>
    <w:rsid w:val="005A5BAB"/>
    <w:rsid w:val="005B3439"/>
    <w:rsid w:val="005B5E17"/>
    <w:rsid w:val="005C1943"/>
    <w:rsid w:val="005C501A"/>
    <w:rsid w:val="005C6D52"/>
    <w:rsid w:val="005C7858"/>
    <w:rsid w:val="005D11A5"/>
    <w:rsid w:val="005D4BC8"/>
    <w:rsid w:val="005D55D6"/>
    <w:rsid w:val="005D593D"/>
    <w:rsid w:val="005D6E43"/>
    <w:rsid w:val="005D769A"/>
    <w:rsid w:val="005E092E"/>
    <w:rsid w:val="005E1DD8"/>
    <w:rsid w:val="005E58E1"/>
    <w:rsid w:val="005E5F8B"/>
    <w:rsid w:val="005F0EC7"/>
    <w:rsid w:val="005F5AEF"/>
    <w:rsid w:val="005F73A6"/>
    <w:rsid w:val="005F75AC"/>
    <w:rsid w:val="00600D9B"/>
    <w:rsid w:val="0060308F"/>
    <w:rsid w:val="0060552B"/>
    <w:rsid w:val="00606E04"/>
    <w:rsid w:val="00611C5C"/>
    <w:rsid w:val="006131E9"/>
    <w:rsid w:val="0061392C"/>
    <w:rsid w:val="00614A05"/>
    <w:rsid w:val="0062336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2BA7"/>
    <w:rsid w:val="006A7BEA"/>
    <w:rsid w:val="006B120F"/>
    <w:rsid w:val="006B2EBD"/>
    <w:rsid w:val="006B2F86"/>
    <w:rsid w:val="006B37A6"/>
    <w:rsid w:val="006D0EE8"/>
    <w:rsid w:val="006D175B"/>
    <w:rsid w:val="006D23EF"/>
    <w:rsid w:val="006D61DA"/>
    <w:rsid w:val="006E0941"/>
    <w:rsid w:val="006E1DC5"/>
    <w:rsid w:val="006E3420"/>
    <w:rsid w:val="006E3FA9"/>
    <w:rsid w:val="006F2196"/>
    <w:rsid w:val="006F2B29"/>
    <w:rsid w:val="00702D07"/>
    <w:rsid w:val="007078D6"/>
    <w:rsid w:val="007133E9"/>
    <w:rsid w:val="00714837"/>
    <w:rsid w:val="00717B00"/>
    <w:rsid w:val="00720DE3"/>
    <w:rsid w:val="00722F2C"/>
    <w:rsid w:val="00727012"/>
    <w:rsid w:val="0072723A"/>
    <w:rsid w:val="00733C05"/>
    <w:rsid w:val="007402C2"/>
    <w:rsid w:val="00743577"/>
    <w:rsid w:val="00745CFC"/>
    <w:rsid w:val="007609D5"/>
    <w:rsid w:val="00771AA1"/>
    <w:rsid w:val="007813D1"/>
    <w:rsid w:val="0078687A"/>
    <w:rsid w:val="00786BB9"/>
    <w:rsid w:val="00786FE5"/>
    <w:rsid w:val="007953B5"/>
    <w:rsid w:val="007964DC"/>
    <w:rsid w:val="007A3BFB"/>
    <w:rsid w:val="007B02A8"/>
    <w:rsid w:val="007B5E3D"/>
    <w:rsid w:val="007B6B28"/>
    <w:rsid w:val="007B7B44"/>
    <w:rsid w:val="007B7C9E"/>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5D3A"/>
    <w:rsid w:val="00807F85"/>
    <w:rsid w:val="00811FE2"/>
    <w:rsid w:val="00820A66"/>
    <w:rsid w:val="00826371"/>
    <w:rsid w:val="0082668B"/>
    <w:rsid w:val="00830214"/>
    <w:rsid w:val="00830902"/>
    <w:rsid w:val="00830A58"/>
    <w:rsid w:val="00834366"/>
    <w:rsid w:val="008363D1"/>
    <w:rsid w:val="00842443"/>
    <w:rsid w:val="00843285"/>
    <w:rsid w:val="00843386"/>
    <w:rsid w:val="008466C4"/>
    <w:rsid w:val="008522B5"/>
    <w:rsid w:val="00854190"/>
    <w:rsid w:val="00854682"/>
    <w:rsid w:val="00857A3C"/>
    <w:rsid w:val="00860613"/>
    <w:rsid w:val="00861279"/>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B44C3"/>
    <w:rsid w:val="008C1507"/>
    <w:rsid w:val="008C5671"/>
    <w:rsid w:val="008E2336"/>
    <w:rsid w:val="008F047E"/>
    <w:rsid w:val="008F2959"/>
    <w:rsid w:val="008F35E0"/>
    <w:rsid w:val="008F399F"/>
    <w:rsid w:val="009038F9"/>
    <w:rsid w:val="00905AAB"/>
    <w:rsid w:val="009139AF"/>
    <w:rsid w:val="00921C5D"/>
    <w:rsid w:val="009234FD"/>
    <w:rsid w:val="00924258"/>
    <w:rsid w:val="00924973"/>
    <w:rsid w:val="00931E42"/>
    <w:rsid w:val="0093283A"/>
    <w:rsid w:val="00935EAC"/>
    <w:rsid w:val="00944529"/>
    <w:rsid w:val="00944D10"/>
    <w:rsid w:val="009454B6"/>
    <w:rsid w:val="00946929"/>
    <w:rsid w:val="00962CB7"/>
    <w:rsid w:val="00963AA3"/>
    <w:rsid w:val="00963B80"/>
    <w:rsid w:val="00966080"/>
    <w:rsid w:val="009664DD"/>
    <w:rsid w:val="00966D19"/>
    <w:rsid w:val="009704A0"/>
    <w:rsid w:val="009722C1"/>
    <w:rsid w:val="00975439"/>
    <w:rsid w:val="00977317"/>
    <w:rsid w:val="00980C11"/>
    <w:rsid w:val="00982425"/>
    <w:rsid w:val="0098257D"/>
    <w:rsid w:val="00986076"/>
    <w:rsid w:val="00987232"/>
    <w:rsid w:val="00991B95"/>
    <w:rsid w:val="00992840"/>
    <w:rsid w:val="00994CC4"/>
    <w:rsid w:val="009968AC"/>
    <w:rsid w:val="009976E7"/>
    <w:rsid w:val="009A11ED"/>
    <w:rsid w:val="009A1795"/>
    <w:rsid w:val="009A1CB0"/>
    <w:rsid w:val="009A65F0"/>
    <w:rsid w:val="009A7026"/>
    <w:rsid w:val="009B1BB9"/>
    <w:rsid w:val="009B393A"/>
    <w:rsid w:val="009B7972"/>
    <w:rsid w:val="009C0DD6"/>
    <w:rsid w:val="009C1B29"/>
    <w:rsid w:val="009D0E88"/>
    <w:rsid w:val="009D24D7"/>
    <w:rsid w:val="009D2DB6"/>
    <w:rsid w:val="009D2F47"/>
    <w:rsid w:val="009D67D9"/>
    <w:rsid w:val="009D7835"/>
    <w:rsid w:val="009E172B"/>
    <w:rsid w:val="009E39C0"/>
    <w:rsid w:val="009E5367"/>
    <w:rsid w:val="009F1E76"/>
    <w:rsid w:val="009F3268"/>
    <w:rsid w:val="009F6C56"/>
    <w:rsid w:val="00A0323B"/>
    <w:rsid w:val="00A13F1D"/>
    <w:rsid w:val="00A155ED"/>
    <w:rsid w:val="00A15F37"/>
    <w:rsid w:val="00A163E3"/>
    <w:rsid w:val="00A22A52"/>
    <w:rsid w:val="00A327CE"/>
    <w:rsid w:val="00A35CA7"/>
    <w:rsid w:val="00A425BA"/>
    <w:rsid w:val="00A4316F"/>
    <w:rsid w:val="00A45FC0"/>
    <w:rsid w:val="00A478A3"/>
    <w:rsid w:val="00A5314F"/>
    <w:rsid w:val="00A54B25"/>
    <w:rsid w:val="00A569E0"/>
    <w:rsid w:val="00A60546"/>
    <w:rsid w:val="00A676D3"/>
    <w:rsid w:val="00A7149F"/>
    <w:rsid w:val="00A72FF3"/>
    <w:rsid w:val="00A7410C"/>
    <w:rsid w:val="00A832BA"/>
    <w:rsid w:val="00A85048"/>
    <w:rsid w:val="00A8750A"/>
    <w:rsid w:val="00A90878"/>
    <w:rsid w:val="00A950F4"/>
    <w:rsid w:val="00A97F5A"/>
    <w:rsid w:val="00AB0ED1"/>
    <w:rsid w:val="00AB1811"/>
    <w:rsid w:val="00AB23B0"/>
    <w:rsid w:val="00AB365A"/>
    <w:rsid w:val="00AB4CFC"/>
    <w:rsid w:val="00AB58F2"/>
    <w:rsid w:val="00AC41F9"/>
    <w:rsid w:val="00AC4EEC"/>
    <w:rsid w:val="00AC6C46"/>
    <w:rsid w:val="00AD20AF"/>
    <w:rsid w:val="00AD3BBF"/>
    <w:rsid w:val="00AE2387"/>
    <w:rsid w:val="00AE6E19"/>
    <w:rsid w:val="00AF09A0"/>
    <w:rsid w:val="00AF18CA"/>
    <w:rsid w:val="00AF2AE5"/>
    <w:rsid w:val="00AF3AD9"/>
    <w:rsid w:val="00AF58F3"/>
    <w:rsid w:val="00B05777"/>
    <w:rsid w:val="00B15438"/>
    <w:rsid w:val="00B2310C"/>
    <w:rsid w:val="00B242B1"/>
    <w:rsid w:val="00B24E54"/>
    <w:rsid w:val="00B27646"/>
    <w:rsid w:val="00B44EAC"/>
    <w:rsid w:val="00B506AC"/>
    <w:rsid w:val="00B50E2C"/>
    <w:rsid w:val="00B51364"/>
    <w:rsid w:val="00B54F8C"/>
    <w:rsid w:val="00B60C22"/>
    <w:rsid w:val="00B7226C"/>
    <w:rsid w:val="00B73636"/>
    <w:rsid w:val="00B7657E"/>
    <w:rsid w:val="00B76C42"/>
    <w:rsid w:val="00B84219"/>
    <w:rsid w:val="00B85546"/>
    <w:rsid w:val="00B913AA"/>
    <w:rsid w:val="00B95673"/>
    <w:rsid w:val="00BA04E1"/>
    <w:rsid w:val="00BA18D1"/>
    <w:rsid w:val="00BA1F8A"/>
    <w:rsid w:val="00BA47DA"/>
    <w:rsid w:val="00BA4E91"/>
    <w:rsid w:val="00BB50DE"/>
    <w:rsid w:val="00BB7A89"/>
    <w:rsid w:val="00BC0CB8"/>
    <w:rsid w:val="00BC1B82"/>
    <w:rsid w:val="00BC5978"/>
    <w:rsid w:val="00BD0100"/>
    <w:rsid w:val="00BD297C"/>
    <w:rsid w:val="00BD483C"/>
    <w:rsid w:val="00BD7A55"/>
    <w:rsid w:val="00BE00E4"/>
    <w:rsid w:val="00BE21A8"/>
    <w:rsid w:val="00BE2827"/>
    <w:rsid w:val="00BE48B7"/>
    <w:rsid w:val="00BE53BC"/>
    <w:rsid w:val="00BE5574"/>
    <w:rsid w:val="00BE74B4"/>
    <w:rsid w:val="00BF0B84"/>
    <w:rsid w:val="00BF5F81"/>
    <w:rsid w:val="00BF6F8D"/>
    <w:rsid w:val="00C04F50"/>
    <w:rsid w:val="00C05E06"/>
    <w:rsid w:val="00C12AFA"/>
    <w:rsid w:val="00C17244"/>
    <w:rsid w:val="00C2020E"/>
    <w:rsid w:val="00C21CA1"/>
    <w:rsid w:val="00C3654D"/>
    <w:rsid w:val="00C41E47"/>
    <w:rsid w:val="00C437E5"/>
    <w:rsid w:val="00C44924"/>
    <w:rsid w:val="00C461EB"/>
    <w:rsid w:val="00C520D7"/>
    <w:rsid w:val="00C57652"/>
    <w:rsid w:val="00C57869"/>
    <w:rsid w:val="00C627A3"/>
    <w:rsid w:val="00C64C2F"/>
    <w:rsid w:val="00C6528A"/>
    <w:rsid w:val="00C6749F"/>
    <w:rsid w:val="00C7375A"/>
    <w:rsid w:val="00C74048"/>
    <w:rsid w:val="00C74654"/>
    <w:rsid w:val="00C75F55"/>
    <w:rsid w:val="00C8685C"/>
    <w:rsid w:val="00C87795"/>
    <w:rsid w:val="00C910CF"/>
    <w:rsid w:val="00C9786B"/>
    <w:rsid w:val="00CA7866"/>
    <w:rsid w:val="00CB1580"/>
    <w:rsid w:val="00CB4072"/>
    <w:rsid w:val="00CB517A"/>
    <w:rsid w:val="00CC5AF3"/>
    <w:rsid w:val="00CC68BF"/>
    <w:rsid w:val="00CC7C45"/>
    <w:rsid w:val="00CE4053"/>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77C3"/>
    <w:rsid w:val="00D54E1D"/>
    <w:rsid w:val="00D55406"/>
    <w:rsid w:val="00D670D3"/>
    <w:rsid w:val="00D67470"/>
    <w:rsid w:val="00D67FC9"/>
    <w:rsid w:val="00D75B0B"/>
    <w:rsid w:val="00D775D2"/>
    <w:rsid w:val="00D8118D"/>
    <w:rsid w:val="00D85155"/>
    <w:rsid w:val="00D93EB9"/>
    <w:rsid w:val="00D97E49"/>
    <w:rsid w:val="00DA4875"/>
    <w:rsid w:val="00DA4917"/>
    <w:rsid w:val="00DB67E5"/>
    <w:rsid w:val="00DC13F9"/>
    <w:rsid w:val="00DC545A"/>
    <w:rsid w:val="00DC585F"/>
    <w:rsid w:val="00DD4F3E"/>
    <w:rsid w:val="00DE0592"/>
    <w:rsid w:val="00DF431A"/>
    <w:rsid w:val="00DF6D21"/>
    <w:rsid w:val="00E02136"/>
    <w:rsid w:val="00E03E17"/>
    <w:rsid w:val="00E06813"/>
    <w:rsid w:val="00E10053"/>
    <w:rsid w:val="00E27F2F"/>
    <w:rsid w:val="00E30B3F"/>
    <w:rsid w:val="00E315D6"/>
    <w:rsid w:val="00E3317B"/>
    <w:rsid w:val="00E3386F"/>
    <w:rsid w:val="00E350BD"/>
    <w:rsid w:val="00E373B4"/>
    <w:rsid w:val="00E46FA7"/>
    <w:rsid w:val="00E475A0"/>
    <w:rsid w:val="00E479DF"/>
    <w:rsid w:val="00E52609"/>
    <w:rsid w:val="00E528C6"/>
    <w:rsid w:val="00E54596"/>
    <w:rsid w:val="00E56000"/>
    <w:rsid w:val="00E56378"/>
    <w:rsid w:val="00E56F01"/>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5747"/>
    <w:rsid w:val="00EB3F96"/>
    <w:rsid w:val="00EB4281"/>
    <w:rsid w:val="00EC03D2"/>
    <w:rsid w:val="00EC0719"/>
    <w:rsid w:val="00EC202F"/>
    <w:rsid w:val="00EC5679"/>
    <w:rsid w:val="00EC57F2"/>
    <w:rsid w:val="00ED2264"/>
    <w:rsid w:val="00ED412E"/>
    <w:rsid w:val="00ED41A8"/>
    <w:rsid w:val="00ED452D"/>
    <w:rsid w:val="00ED5DD6"/>
    <w:rsid w:val="00EE29BE"/>
    <w:rsid w:val="00EE3CDA"/>
    <w:rsid w:val="00EF038F"/>
    <w:rsid w:val="00EF07C3"/>
    <w:rsid w:val="00EF6331"/>
    <w:rsid w:val="00F00241"/>
    <w:rsid w:val="00F002F6"/>
    <w:rsid w:val="00F01AED"/>
    <w:rsid w:val="00F109A7"/>
    <w:rsid w:val="00F1303C"/>
    <w:rsid w:val="00F15E8D"/>
    <w:rsid w:val="00F175AF"/>
    <w:rsid w:val="00F236DC"/>
    <w:rsid w:val="00F23996"/>
    <w:rsid w:val="00F247BC"/>
    <w:rsid w:val="00F2719D"/>
    <w:rsid w:val="00F313E8"/>
    <w:rsid w:val="00F35253"/>
    <w:rsid w:val="00F36405"/>
    <w:rsid w:val="00F53132"/>
    <w:rsid w:val="00F5456A"/>
    <w:rsid w:val="00F545FC"/>
    <w:rsid w:val="00F573F1"/>
    <w:rsid w:val="00F57CAC"/>
    <w:rsid w:val="00F66320"/>
    <w:rsid w:val="00F6767A"/>
    <w:rsid w:val="00F67E6A"/>
    <w:rsid w:val="00F71668"/>
    <w:rsid w:val="00F7568A"/>
    <w:rsid w:val="00F81073"/>
    <w:rsid w:val="00F83EEA"/>
    <w:rsid w:val="00F8461A"/>
    <w:rsid w:val="00F87FA4"/>
    <w:rsid w:val="00F90063"/>
    <w:rsid w:val="00F91222"/>
    <w:rsid w:val="00F9267B"/>
    <w:rsid w:val="00F94AE5"/>
    <w:rsid w:val="00F970A7"/>
    <w:rsid w:val="00F9738D"/>
    <w:rsid w:val="00FA2228"/>
    <w:rsid w:val="00FA59C6"/>
    <w:rsid w:val="00FB15EB"/>
    <w:rsid w:val="00FB4A1C"/>
    <w:rsid w:val="00FB60CC"/>
    <w:rsid w:val="00FB60FB"/>
    <w:rsid w:val="00FC23C7"/>
    <w:rsid w:val="00FC5A6D"/>
    <w:rsid w:val="00FC5B2A"/>
    <w:rsid w:val="00FD12DB"/>
    <w:rsid w:val="00FD1306"/>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A08FD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Sledovanodkaz">
    <w:name w:val="FollowedHyperlink"/>
    <w:basedOn w:val="Standardnpsmoodstavce"/>
    <w:uiPriority w:val="99"/>
    <w:semiHidden/>
    <w:unhideWhenUsed/>
    <w:rsid w:val="000444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664868437">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54027908">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24624702">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onlin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baonlin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A588C-0F07-4E3D-8BE4-FF2F0C5B3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488</Words>
  <Characters>2880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vlachova</dc:creator>
  <cp:lastModifiedBy>Andrea Trudičová</cp:lastModifiedBy>
  <cp:revision>6</cp:revision>
  <cp:lastPrinted>2020-02-18T12:08:00Z</cp:lastPrinted>
  <dcterms:created xsi:type="dcterms:W3CDTF">2020-09-30T13:02:00Z</dcterms:created>
  <dcterms:modified xsi:type="dcterms:W3CDTF">2020-09-30T14:59:00Z</dcterms:modified>
</cp:coreProperties>
</file>