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4699" w14:textId="7FB664CD" w:rsidR="000E32D1" w:rsidRPr="00553166" w:rsidRDefault="00BF6F8D" w:rsidP="005F4AB4">
      <w:pPr>
        <w:rPr>
          <w:b/>
          <w:i/>
          <w:iCs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5A6223B1" w:rsidR="00BF6F8D" w:rsidRPr="00517111" w:rsidRDefault="003947D6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AE7E84"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543BD7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5A6223B1" w:rsidR="00BF6F8D" w:rsidRPr="00517111" w:rsidRDefault="003947D6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</w:t>
                      </w:r>
                      <w:r w:rsidR="00AE7E84">
                        <w:rPr>
                          <w:color w:val="BFBFBF" w:themeColor="background1" w:themeShade="BF"/>
                        </w:rPr>
                        <w:t>4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 w:rsidR="00543BD7">
                        <w:rPr>
                          <w:color w:val="BFBFBF" w:themeColor="background1" w:themeShade="BF"/>
                        </w:rPr>
                        <w:t>9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</w:t>
      </w:r>
      <w:r w:rsidR="003E34CD">
        <w:rPr>
          <w:rFonts w:cs="Arial"/>
          <w:b/>
          <w:color w:val="007E79"/>
          <w:sz w:val="28"/>
          <w:szCs w:val="28"/>
        </w:rPr>
        <w:t xml:space="preserve"> ke kauze</w:t>
      </w:r>
      <w:r w:rsidR="00DC3C93" w:rsidRPr="00AE7E84">
        <w:rPr>
          <w:rFonts w:cs="Arial"/>
          <w:b/>
          <w:color w:val="007E79"/>
          <w:sz w:val="28"/>
          <w:szCs w:val="28"/>
        </w:rPr>
        <w:t xml:space="preserve"> </w:t>
      </w:r>
      <w:proofErr w:type="spellStart"/>
      <w:r w:rsidR="000E32D1" w:rsidRPr="00AE7E84">
        <w:rPr>
          <w:rFonts w:cs="Arial"/>
          <w:b/>
          <w:color w:val="007E79"/>
          <w:sz w:val="28"/>
          <w:szCs w:val="28"/>
        </w:rPr>
        <w:t>FinCEN</w:t>
      </w:r>
      <w:proofErr w:type="spellEnd"/>
      <w:r w:rsidR="000E32D1" w:rsidRPr="00AE7E84">
        <w:rPr>
          <w:rFonts w:cs="Arial"/>
          <w:b/>
          <w:color w:val="007E79"/>
          <w:sz w:val="28"/>
          <w:szCs w:val="28"/>
        </w:rPr>
        <w:t xml:space="preserve"> </w:t>
      </w:r>
      <w:proofErr w:type="spellStart"/>
      <w:r w:rsidR="000E32D1" w:rsidRPr="00AE7E84">
        <w:rPr>
          <w:rFonts w:cs="Arial"/>
          <w:b/>
          <w:color w:val="007E79"/>
          <w:sz w:val="28"/>
          <w:szCs w:val="28"/>
        </w:rPr>
        <w:t>Files</w:t>
      </w:r>
      <w:proofErr w:type="spellEnd"/>
    </w:p>
    <w:p w14:paraId="2E93C560" w14:textId="4DDEFF01" w:rsidR="00877706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EE99EC5" w14:textId="3E7DCE0F" w:rsidR="00AE7E84" w:rsidRPr="00E27F2F" w:rsidRDefault="00AE7E84" w:rsidP="00BD483C">
      <w:pPr>
        <w:spacing w:after="120" w:line="276" w:lineRule="auto"/>
        <w:contextualSpacing/>
        <w:rPr>
          <w:rFonts w:cs="Arial"/>
          <w:szCs w:val="18"/>
        </w:rPr>
      </w:pPr>
      <w:r w:rsidRPr="00AE7E84">
        <w:rPr>
          <w:rFonts w:cs="Arial"/>
          <w:b/>
          <w:color w:val="007E79"/>
          <w:sz w:val="20"/>
        </w:rPr>
        <w:t>Autor: Filip Hanzlík, náměstek výkonného ředitele ČBA</w:t>
      </w:r>
    </w:p>
    <w:p w14:paraId="231E4628" w14:textId="36C294FC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3947D6">
        <w:rPr>
          <w:rFonts w:cs="Arial"/>
          <w:b/>
          <w:color w:val="007E79"/>
          <w:sz w:val="20"/>
        </w:rPr>
        <w:t>2</w:t>
      </w:r>
      <w:r w:rsidR="00AE7E84">
        <w:rPr>
          <w:rFonts w:cs="Arial"/>
          <w:b/>
          <w:color w:val="007E79"/>
          <w:sz w:val="20"/>
        </w:rPr>
        <w:t>4</w:t>
      </w:r>
      <w:r w:rsidR="00FB15EB">
        <w:rPr>
          <w:rFonts w:cs="Arial"/>
          <w:b/>
          <w:color w:val="007E79"/>
          <w:sz w:val="20"/>
        </w:rPr>
        <w:t xml:space="preserve">. </w:t>
      </w:r>
      <w:r w:rsidR="00543BD7">
        <w:rPr>
          <w:rFonts w:cs="Arial"/>
          <w:b/>
          <w:color w:val="007E79"/>
          <w:sz w:val="20"/>
        </w:rPr>
        <w:t>září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6D8AC42" w14:textId="571BF0D3" w:rsidR="00252A82" w:rsidRDefault="000E32D1" w:rsidP="000E32D1">
      <w:pPr>
        <w:rPr>
          <w:sz w:val="20"/>
        </w:rPr>
      </w:pPr>
      <w:bookmarkStart w:id="0" w:name="_Hlk51839116"/>
      <w:r w:rsidRPr="000E32D1">
        <w:rPr>
          <w:sz w:val="20"/>
        </w:rPr>
        <w:t xml:space="preserve">V posledních dnech </w:t>
      </w:r>
      <w:r w:rsidR="00252A82">
        <w:rPr>
          <w:sz w:val="20"/>
        </w:rPr>
        <w:t>je veřejnost</w:t>
      </w:r>
      <w:r w:rsidRPr="000E32D1">
        <w:rPr>
          <w:sz w:val="20"/>
        </w:rPr>
        <w:t xml:space="preserve"> konfrontován</w:t>
      </w:r>
      <w:r w:rsidR="00252A82">
        <w:rPr>
          <w:sz w:val="20"/>
        </w:rPr>
        <w:t>a</w:t>
      </w:r>
      <w:r w:rsidRPr="000E32D1">
        <w:rPr>
          <w:sz w:val="20"/>
        </w:rPr>
        <w:t xml:space="preserve"> se závěry některých autorů </w:t>
      </w:r>
      <w:r w:rsidR="00252A82">
        <w:rPr>
          <w:sz w:val="20"/>
        </w:rPr>
        <w:t xml:space="preserve">prezentujících se v českém mediálním prostoru </w:t>
      </w:r>
      <w:r w:rsidRPr="000E32D1">
        <w:rPr>
          <w:sz w:val="20"/>
        </w:rPr>
        <w:t>o tom, jak nedostatečně se české banky vypořádávají se svými povinnostmi na poli uplatňování opatření proti praní špinavých peněz a financování terorismu</w:t>
      </w:r>
      <w:bookmarkEnd w:id="0"/>
      <w:r w:rsidRPr="000E32D1">
        <w:rPr>
          <w:sz w:val="20"/>
        </w:rPr>
        <w:t>. Autoři přitom vycházejí z </w:t>
      </w:r>
      <w:r w:rsidRPr="003E34CD">
        <w:rPr>
          <w:b/>
          <w:bCs/>
          <w:sz w:val="20"/>
        </w:rPr>
        <w:t xml:space="preserve">tzv. </w:t>
      </w:r>
      <w:proofErr w:type="spellStart"/>
      <w:r w:rsidRPr="003E34CD">
        <w:rPr>
          <w:b/>
          <w:bCs/>
          <w:sz w:val="20"/>
        </w:rPr>
        <w:t>FinCEN</w:t>
      </w:r>
      <w:proofErr w:type="spellEnd"/>
      <w:r w:rsidRPr="003E34CD">
        <w:rPr>
          <w:b/>
          <w:bCs/>
          <w:sz w:val="20"/>
        </w:rPr>
        <w:t xml:space="preserve"> </w:t>
      </w:r>
      <w:proofErr w:type="spellStart"/>
      <w:r w:rsidRPr="003E34CD">
        <w:rPr>
          <w:b/>
          <w:bCs/>
          <w:sz w:val="20"/>
        </w:rPr>
        <w:t>Files</w:t>
      </w:r>
      <w:proofErr w:type="spellEnd"/>
      <w:r w:rsidRPr="003E34CD">
        <w:rPr>
          <w:b/>
          <w:bCs/>
          <w:sz w:val="20"/>
        </w:rPr>
        <w:t xml:space="preserve">, tedy nezákonně uniklých a protiprávně zveřejněných materiálů a údajů ve vlastnictví </w:t>
      </w:r>
      <w:proofErr w:type="spellStart"/>
      <w:r w:rsidRPr="003E34CD">
        <w:rPr>
          <w:b/>
          <w:bCs/>
          <w:sz w:val="20"/>
        </w:rPr>
        <w:t>Financial</w:t>
      </w:r>
      <w:proofErr w:type="spellEnd"/>
      <w:r w:rsidRPr="003E34CD">
        <w:rPr>
          <w:b/>
          <w:bCs/>
          <w:sz w:val="20"/>
        </w:rPr>
        <w:t xml:space="preserve"> </w:t>
      </w:r>
      <w:proofErr w:type="spellStart"/>
      <w:r w:rsidRPr="003E34CD">
        <w:rPr>
          <w:b/>
          <w:bCs/>
          <w:sz w:val="20"/>
        </w:rPr>
        <w:t>Crimes</w:t>
      </w:r>
      <w:proofErr w:type="spellEnd"/>
      <w:r w:rsidRPr="003E34CD">
        <w:rPr>
          <w:b/>
          <w:bCs/>
          <w:sz w:val="20"/>
        </w:rPr>
        <w:t xml:space="preserve"> </w:t>
      </w:r>
      <w:proofErr w:type="spellStart"/>
      <w:r w:rsidRPr="003E34CD">
        <w:rPr>
          <w:b/>
          <w:bCs/>
          <w:sz w:val="20"/>
        </w:rPr>
        <w:t>Enforcement</w:t>
      </w:r>
      <w:proofErr w:type="spellEnd"/>
      <w:r w:rsidRPr="003E34CD">
        <w:rPr>
          <w:b/>
          <w:bCs/>
          <w:sz w:val="20"/>
        </w:rPr>
        <w:t xml:space="preserve"> Network (</w:t>
      </w:r>
      <w:proofErr w:type="spellStart"/>
      <w:r w:rsidRPr="003E34CD">
        <w:rPr>
          <w:b/>
          <w:bCs/>
          <w:sz w:val="20"/>
        </w:rPr>
        <w:t>FinCEN</w:t>
      </w:r>
      <w:proofErr w:type="spellEnd"/>
      <w:r w:rsidRPr="003E34CD">
        <w:rPr>
          <w:b/>
          <w:bCs/>
          <w:sz w:val="20"/>
        </w:rPr>
        <w:t>)</w:t>
      </w:r>
      <w:r w:rsidRPr="000E32D1">
        <w:rPr>
          <w:sz w:val="20"/>
        </w:rPr>
        <w:t xml:space="preserve">, </w:t>
      </w:r>
      <w:r w:rsidR="003E34CD">
        <w:rPr>
          <w:sz w:val="20"/>
        </w:rPr>
        <w:t>který je</w:t>
      </w:r>
      <w:r w:rsidRPr="000E32D1">
        <w:rPr>
          <w:sz w:val="20"/>
        </w:rPr>
        <w:t xml:space="preserve"> americk</w:t>
      </w:r>
      <w:r w:rsidR="003E34CD">
        <w:rPr>
          <w:sz w:val="20"/>
        </w:rPr>
        <w:t>ou</w:t>
      </w:r>
      <w:r w:rsidRPr="000E32D1">
        <w:rPr>
          <w:sz w:val="20"/>
        </w:rPr>
        <w:t xml:space="preserve"> obdob</w:t>
      </w:r>
      <w:r w:rsidR="003E34CD">
        <w:rPr>
          <w:sz w:val="20"/>
        </w:rPr>
        <w:t>ou</w:t>
      </w:r>
      <w:r w:rsidRPr="000E32D1">
        <w:rPr>
          <w:sz w:val="20"/>
        </w:rPr>
        <w:t xml:space="preserve"> zdejšího Finančního analytického úřadu (FAÚ). </w:t>
      </w:r>
    </w:p>
    <w:p w14:paraId="3C4787BB" w14:textId="77777777" w:rsidR="00252A82" w:rsidRDefault="00252A82" w:rsidP="000E32D1">
      <w:pPr>
        <w:rPr>
          <w:sz w:val="20"/>
        </w:rPr>
      </w:pPr>
    </w:p>
    <w:p w14:paraId="7431E80A" w14:textId="65F2C543" w:rsidR="000E32D1" w:rsidRPr="000E32D1" w:rsidRDefault="000E32D1" w:rsidP="000E32D1">
      <w:pPr>
        <w:rPr>
          <w:sz w:val="20"/>
        </w:rPr>
      </w:pPr>
      <w:r w:rsidRPr="000E32D1">
        <w:rPr>
          <w:sz w:val="20"/>
        </w:rPr>
        <w:t xml:space="preserve">Má se jednat o celkem 2100 dokumentů týkajících se transakcí, které se měly odehrát v letech 2000-2017. S těmito nezákonně získanými dokumenty pracuje Mezinárodní konsorcium investigativních novinářů (ICIJ). Ti si pro svou publikační činnost vybrali jen určitou část takto získaných dokumentů a ve vztahu k veřejnosti pracují pouze s ní. ICIJ zároveň výslovně uvádí, že nehodlá zveřejnit celý rozsah úniku informací </w:t>
      </w:r>
      <w:proofErr w:type="spellStart"/>
      <w:r w:rsidRPr="000E32D1">
        <w:rPr>
          <w:sz w:val="20"/>
        </w:rPr>
        <w:t>FinCEN</w:t>
      </w:r>
      <w:proofErr w:type="spellEnd"/>
      <w:r w:rsidRPr="000E32D1">
        <w:rPr>
          <w:sz w:val="20"/>
        </w:rPr>
        <w:t xml:space="preserve">, ani nezpřístupní jednotlivé dokumenty či údaje. Důležité je poznamenat, že sama ICIJ na svých webových stránkách uvádí, že </w:t>
      </w:r>
      <w:r w:rsidRPr="003E34CD">
        <w:rPr>
          <w:sz w:val="20"/>
        </w:rPr>
        <w:t>„</w:t>
      </w:r>
      <w:r w:rsidRPr="003E34CD">
        <w:rPr>
          <w:i/>
          <w:iCs/>
          <w:sz w:val="20"/>
        </w:rPr>
        <w:t>předmětné transakce nezbytně nepředstavují důkaz o páchání trestné činnosti nebo o jiném protiprávním jednání</w:t>
      </w:r>
      <w:r w:rsidRPr="003E34CD">
        <w:rPr>
          <w:sz w:val="20"/>
        </w:rPr>
        <w:t xml:space="preserve">“. </w:t>
      </w:r>
    </w:p>
    <w:p w14:paraId="399FAE36" w14:textId="77777777" w:rsidR="000E32D1" w:rsidRPr="000E32D1" w:rsidRDefault="000E32D1" w:rsidP="000E32D1">
      <w:pPr>
        <w:rPr>
          <w:sz w:val="20"/>
        </w:rPr>
      </w:pPr>
    </w:p>
    <w:p w14:paraId="330AD30B" w14:textId="73DD4B63" w:rsidR="005F4AB4" w:rsidRDefault="005F4AB4" w:rsidP="000E32D1">
      <w:pPr>
        <w:rPr>
          <w:sz w:val="20"/>
        </w:rPr>
      </w:pPr>
      <w:r w:rsidRPr="00383FD6">
        <w:rPr>
          <w:sz w:val="20"/>
        </w:rPr>
        <w:t xml:space="preserve">Z dosud publikovaných výstupů, ale i z výše popsaného modu </w:t>
      </w:r>
      <w:proofErr w:type="spellStart"/>
      <w:r w:rsidRPr="00383FD6">
        <w:rPr>
          <w:sz w:val="20"/>
        </w:rPr>
        <w:t>operandi</w:t>
      </w:r>
      <w:proofErr w:type="spellEnd"/>
      <w:r w:rsidRPr="00383FD6">
        <w:rPr>
          <w:sz w:val="20"/>
        </w:rPr>
        <w:t xml:space="preserve"> ICIJ lze vyslovit pochybnosti například o tom, nakolik uniklé dokumenty popisují příslušné transakce v jejich celistvosti. Tím </w:t>
      </w:r>
      <w:r w:rsidR="00252A82">
        <w:rPr>
          <w:sz w:val="20"/>
        </w:rPr>
        <w:t>je myšleno</w:t>
      </w:r>
      <w:r w:rsidRPr="00383FD6">
        <w:rPr>
          <w:sz w:val="20"/>
        </w:rPr>
        <w:t xml:space="preserve"> třeba to, že daná transakce nemusela v určité své fázi vykazovat znaky podezřelého obchodu</w:t>
      </w:r>
      <w:r w:rsidR="00253237" w:rsidRPr="00383FD6">
        <w:rPr>
          <w:sz w:val="20"/>
        </w:rPr>
        <w:t>,</w:t>
      </w:r>
      <w:r w:rsidRPr="00383FD6">
        <w:rPr>
          <w:sz w:val="20"/>
        </w:rPr>
        <w:t xml:space="preserve"> a tudíž ani nepodléhala oznamovací povinnosti ze strany banky.</w:t>
      </w:r>
    </w:p>
    <w:p w14:paraId="1577A712" w14:textId="77777777" w:rsidR="005F4AB4" w:rsidRDefault="005F4AB4" w:rsidP="000E32D1">
      <w:pPr>
        <w:rPr>
          <w:sz w:val="20"/>
        </w:rPr>
      </w:pPr>
    </w:p>
    <w:p w14:paraId="3DEB1AB8" w14:textId="7393A5A3" w:rsidR="000E32D1" w:rsidRDefault="000E32D1" w:rsidP="000E32D1">
      <w:pPr>
        <w:rPr>
          <w:sz w:val="20"/>
        </w:rPr>
      </w:pPr>
      <w:r w:rsidRPr="000E32D1">
        <w:rPr>
          <w:sz w:val="20"/>
        </w:rPr>
        <w:t xml:space="preserve">To nicméně </w:t>
      </w:r>
      <w:r w:rsidR="00252A82">
        <w:rPr>
          <w:sz w:val="20"/>
        </w:rPr>
        <w:t xml:space="preserve">některým </w:t>
      </w:r>
      <w:r w:rsidRPr="000E32D1">
        <w:rPr>
          <w:sz w:val="20"/>
        </w:rPr>
        <w:t xml:space="preserve">autorům </w:t>
      </w:r>
      <w:r w:rsidR="00252A82" w:rsidRPr="000E32D1">
        <w:rPr>
          <w:sz w:val="20"/>
        </w:rPr>
        <w:t>nebrání</w:t>
      </w:r>
      <w:r w:rsidR="00252A82">
        <w:rPr>
          <w:sz w:val="20"/>
        </w:rPr>
        <w:t xml:space="preserve"> </w:t>
      </w:r>
      <w:r w:rsidRPr="000E32D1">
        <w:rPr>
          <w:sz w:val="20"/>
        </w:rPr>
        <w:t>ve zcela paušálních tvrzeních o tom, že „</w:t>
      </w:r>
      <w:r w:rsidRPr="00252A82">
        <w:rPr>
          <w:i/>
          <w:iCs/>
          <w:sz w:val="20"/>
        </w:rPr>
        <w:t xml:space="preserve">se Česko stalo jedním z evropských center, kde se perou peníze z </w:t>
      </w:r>
      <w:r w:rsidR="005F4AB4" w:rsidRPr="00252A82">
        <w:rPr>
          <w:i/>
          <w:iCs/>
          <w:sz w:val="20"/>
        </w:rPr>
        <w:t>Ruska – ať</w:t>
      </w:r>
      <w:r w:rsidRPr="00252A82">
        <w:rPr>
          <w:i/>
          <w:iCs/>
          <w:sz w:val="20"/>
        </w:rPr>
        <w:t xml:space="preserve"> už ukradené zkorumpovanými úředníky z ruského státního rozpočtu, z vytunelovaných firem, nebo z úplatků pro celníky</w:t>
      </w:r>
      <w:r w:rsidRPr="000E32D1">
        <w:rPr>
          <w:sz w:val="20"/>
        </w:rPr>
        <w:t xml:space="preserve">“, popř. z jiných zemí, jmenovitě z Číny nebo </w:t>
      </w:r>
      <w:proofErr w:type="spellStart"/>
      <w:r w:rsidRPr="000E32D1">
        <w:rPr>
          <w:sz w:val="20"/>
        </w:rPr>
        <w:t>Ázerbajdžánu</w:t>
      </w:r>
      <w:proofErr w:type="spellEnd"/>
      <w:r w:rsidRPr="000E32D1">
        <w:rPr>
          <w:sz w:val="20"/>
        </w:rPr>
        <w:t xml:space="preserve">. </w:t>
      </w:r>
    </w:p>
    <w:p w14:paraId="01EFE57C" w14:textId="6B437792" w:rsidR="00FD17FC" w:rsidRDefault="00FD17FC" w:rsidP="000E32D1">
      <w:pPr>
        <w:rPr>
          <w:sz w:val="20"/>
        </w:rPr>
      </w:pPr>
    </w:p>
    <w:p w14:paraId="0E209754" w14:textId="745840CB" w:rsidR="000E32D1" w:rsidRPr="00074832" w:rsidRDefault="000E32D1" w:rsidP="000E32D1">
      <w:pPr>
        <w:rPr>
          <w:b/>
          <w:bCs/>
          <w:sz w:val="20"/>
        </w:rPr>
      </w:pPr>
      <w:r w:rsidRPr="00074832">
        <w:rPr>
          <w:b/>
          <w:bCs/>
          <w:sz w:val="20"/>
        </w:rPr>
        <w:t>Proti takovýmto tvrzením se velmi důrazně ohrazuj</w:t>
      </w:r>
      <w:r w:rsidR="00252A82" w:rsidRPr="00074832">
        <w:rPr>
          <w:b/>
          <w:bCs/>
          <w:sz w:val="20"/>
        </w:rPr>
        <w:t>eme</w:t>
      </w:r>
      <w:r w:rsidRPr="00074832">
        <w:rPr>
          <w:b/>
          <w:bCs/>
          <w:sz w:val="20"/>
        </w:rPr>
        <w:t xml:space="preserve">. Pokud autoři těchto výroků disponují důkazy či indiciemi nasvědčujícími tomu, že v konkrétním případě byla páchána trestná nebo jinak nezákonná činnost, nechť je poskytnou příslušným orgánům veřejné moci. </w:t>
      </w:r>
    </w:p>
    <w:p w14:paraId="353004A5" w14:textId="0E2EEB63" w:rsidR="00DC3C93" w:rsidRDefault="00DC3C93" w:rsidP="000E32D1">
      <w:pPr>
        <w:rPr>
          <w:sz w:val="20"/>
        </w:rPr>
      </w:pPr>
    </w:p>
    <w:p w14:paraId="0483735D" w14:textId="260E94CB" w:rsidR="000E32D1" w:rsidRDefault="000E32D1" w:rsidP="000E32D1">
      <w:pPr>
        <w:rPr>
          <w:sz w:val="20"/>
        </w:rPr>
      </w:pPr>
      <w:r w:rsidRPr="000E32D1">
        <w:rPr>
          <w:sz w:val="20"/>
        </w:rPr>
        <w:t xml:space="preserve">Finanční instituce, jako jedny z mnoha kategorií tzv. povinných osob, se v oblasti boje proti praní špinavých peněz řídí zákonem č. 253/2008 Sb., o některých opatřeních proti legalizaci výnosů z trestné činnosti a financování terorismu. Ten finančním institucím stanoví jasné povinnosti a předepisuje také závazné postupy pro případ, že banka zaznamená transakci naplňující některý ze znaků podezřelého obchodu. Bližší popis těchto povinností a procedur naleznete na stránkách </w:t>
      </w:r>
      <w:hyperlink r:id="rId8" w:history="1">
        <w:r w:rsidRPr="00252A82">
          <w:rPr>
            <w:rStyle w:val="Hypertextovodkaz"/>
            <w:sz w:val="20"/>
          </w:rPr>
          <w:t>České bankovní asociace</w:t>
        </w:r>
      </w:hyperlink>
      <w:r w:rsidRPr="00383FD6">
        <w:rPr>
          <w:sz w:val="20"/>
        </w:rPr>
        <w:t>.</w:t>
      </w:r>
      <w:r w:rsidRPr="000E32D1">
        <w:rPr>
          <w:sz w:val="20"/>
        </w:rPr>
        <w:t xml:space="preserve"> </w:t>
      </w:r>
    </w:p>
    <w:p w14:paraId="01937A70" w14:textId="11CCBF55" w:rsidR="00553166" w:rsidRDefault="00553166" w:rsidP="000E32D1">
      <w:pPr>
        <w:rPr>
          <w:sz w:val="20"/>
        </w:rPr>
      </w:pPr>
    </w:p>
    <w:p w14:paraId="18130BA1" w14:textId="77777777" w:rsidR="00383FD6" w:rsidRPr="00252A82" w:rsidRDefault="00383FD6" w:rsidP="00383FD6">
      <w:pPr>
        <w:rPr>
          <w:b/>
          <w:bCs/>
          <w:sz w:val="20"/>
        </w:rPr>
      </w:pPr>
      <w:bookmarkStart w:id="1" w:name="_Hlk51839274"/>
      <w:r w:rsidRPr="00252A82">
        <w:rPr>
          <w:b/>
          <w:bCs/>
          <w:sz w:val="20"/>
        </w:rPr>
        <w:t>Česká bankovní asociace nemá sebemenší náznak informace o tom, že by proti kterékoli její členské bance bylo vedeno sankční řízení, jehož předmětem by bylo porušení povinností vyplývajících z právních předpisů proti praní špinavých peněz a financování terorismu.</w:t>
      </w:r>
    </w:p>
    <w:bookmarkEnd w:id="1"/>
    <w:p w14:paraId="257AA649" w14:textId="6D4A08EC" w:rsidR="00383FD6" w:rsidRDefault="00383FD6" w:rsidP="000E32D1">
      <w:pPr>
        <w:rPr>
          <w:sz w:val="20"/>
        </w:rPr>
      </w:pPr>
    </w:p>
    <w:p w14:paraId="76D4CC89" w14:textId="0ED862D3" w:rsidR="00553166" w:rsidRPr="00252A82" w:rsidRDefault="00553166" w:rsidP="000E32D1">
      <w:pPr>
        <w:rPr>
          <w:b/>
          <w:bCs/>
          <w:sz w:val="20"/>
        </w:rPr>
      </w:pPr>
      <w:r w:rsidRPr="00252A82">
        <w:rPr>
          <w:b/>
          <w:bCs/>
          <w:sz w:val="20"/>
        </w:rPr>
        <w:t>České banky</w:t>
      </w:r>
      <w:r w:rsidR="008610BA" w:rsidRPr="00252A82">
        <w:rPr>
          <w:b/>
          <w:bCs/>
          <w:sz w:val="20"/>
        </w:rPr>
        <w:t xml:space="preserve"> se požadavky AML legislativy řídí, </w:t>
      </w:r>
      <w:r w:rsidR="00383FD6" w:rsidRPr="00252A82">
        <w:rPr>
          <w:b/>
          <w:bCs/>
          <w:sz w:val="20"/>
        </w:rPr>
        <w:t xml:space="preserve">aktivně </w:t>
      </w:r>
      <w:r w:rsidR="008610BA" w:rsidRPr="00252A82">
        <w:rPr>
          <w:b/>
          <w:bCs/>
          <w:sz w:val="20"/>
        </w:rPr>
        <w:t>spolupracují s ČNB, FAÚ i s orgány činnými v trestním řízení.</w:t>
      </w:r>
      <w:r w:rsidR="00383FD6" w:rsidRPr="00252A82">
        <w:rPr>
          <w:b/>
          <w:bCs/>
          <w:sz w:val="20"/>
        </w:rPr>
        <w:t xml:space="preserve"> Svědčí o tom mimo jiné</w:t>
      </w:r>
      <w:r w:rsidR="008610BA" w:rsidRPr="00252A82">
        <w:rPr>
          <w:b/>
          <w:bCs/>
          <w:sz w:val="20"/>
        </w:rPr>
        <w:t xml:space="preserve"> </w:t>
      </w:r>
      <w:r w:rsidR="00383FD6" w:rsidRPr="00252A82">
        <w:rPr>
          <w:b/>
          <w:bCs/>
          <w:sz w:val="20"/>
        </w:rPr>
        <w:t>následující:</w:t>
      </w:r>
    </w:p>
    <w:p w14:paraId="67C41538" w14:textId="77777777" w:rsidR="00383FD6" w:rsidRPr="00A57AB6" w:rsidRDefault="00383FD6" w:rsidP="000E32D1">
      <w:pPr>
        <w:rPr>
          <w:sz w:val="20"/>
        </w:rPr>
      </w:pPr>
    </w:p>
    <w:tbl>
      <w:tblPr>
        <w:tblStyle w:val="Mkatabulky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83FD6" w:rsidRPr="00A57AB6" w14:paraId="15AFAD3B" w14:textId="77777777" w:rsidTr="00383FD6">
        <w:tc>
          <w:tcPr>
            <w:tcW w:w="10196" w:type="dxa"/>
          </w:tcPr>
          <w:p w14:paraId="0406A8F2" w14:textId="77777777" w:rsidR="003E49FF" w:rsidRDefault="003E49FF" w:rsidP="00AA6446">
            <w:pPr>
              <w:rPr>
                <w:rFonts w:cs="Arial"/>
                <w:b/>
                <w:bCs/>
                <w:sz w:val="20"/>
              </w:rPr>
            </w:pPr>
          </w:p>
          <w:p w14:paraId="613228B0" w14:textId="2938D316" w:rsidR="00383FD6" w:rsidRPr="00A57AB6" w:rsidRDefault="00AA6446" w:rsidP="00AA6446">
            <w:pPr>
              <w:rPr>
                <w:b/>
                <w:bCs/>
                <w:sz w:val="20"/>
              </w:rPr>
            </w:pPr>
            <w:r w:rsidRPr="00A57AB6">
              <w:rPr>
                <w:rFonts w:cs="Arial"/>
                <w:b/>
                <w:bCs/>
                <w:sz w:val="20"/>
              </w:rPr>
              <w:t>Za období od 1.</w:t>
            </w:r>
            <w:r w:rsidR="004B5AF0">
              <w:rPr>
                <w:rFonts w:cs="Arial"/>
                <w:b/>
                <w:bCs/>
                <w:sz w:val="20"/>
              </w:rPr>
              <w:t xml:space="preserve"> </w:t>
            </w:r>
            <w:r w:rsidRPr="00A57AB6">
              <w:rPr>
                <w:rFonts w:cs="Arial"/>
                <w:b/>
                <w:bCs/>
                <w:sz w:val="20"/>
              </w:rPr>
              <w:t>1.</w:t>
            </w:r>
            <w:r w:rsidR="004B5AF0">
              <w:rPr>
                <w:rFonts w:cs="Arial"/>
                <w:b/>
                <w:bCs/>
                <w:sz w:val="20"/>
              </w:rPr>
              <w:t xml:space="preserve"> </w:t>
            </w:r>
            <w:r w:rsidRPr="00A57AB6">
              <w:rPr>
                <w:rFonts w:cs="Arial"/>
                <w:b/>
                <w:bCs/>
                <w:sz w:val="20"/>
              </w:rPr>
              <w:t>2000</w:t>
            </w:r>
            <w:r w:rsidR="00A57AB6" w:rsidRPr="00A57AB6">
              <w:rPr>
                <w:rFonts w:cs="Arial"/>
                <w:b/>
                <w:bCs/>
                <w:sz w:val="20"/>
              </w:rPr>
              <w:t xml:space="preserve"> </w:t>
            </w:r>
            <w:r w:rsidRPr="00A57AB6">
              <w:rPr>
                <w:rFonts w:cs="Arial"/>
                <w:b/>
                <w:bCs/>
                <w:sz w:val="20"/>
              </w:rPr>
              <w:t>do 30.</w:t>
            </w:r>
            <w:r w:rsidR="004B5AF0">
              <w:rPr>
                <w:rFonts w:cs="Arial"/>
                <w:b/>
                <w:bCs/>
                <w:sz w:val="20"/>
              </w:rPr>
              <w:t xml:space="preserve"> </w:t>
            </w:r>
            <w:r w:rsidRPr="00A57AB6">
              <w:rPr>
                <w:rFonts w:cs="Arial"/>
                <w:b/>
                <w:bCs/>
                <w:sz w:val="20"/>
              </w:rPr>
              <w:t>6.</w:t>
            </w:r>
            <w:r w:rsidR="004B5AF0">
              <w:rPr>
                <w:rFonts w:cs="Arial"/>
                <w:b/>
                <w:bCs/>
                <w:sz w:val="20"/>
              </w:rPr>
              <w:t xml:space="preserve"> </w:t>
            </w:r>
            <w:r w:rsidRPr="00A57AB6">
              <w:rPr>
                <w:rFonts w:cs="Arial"/>
                <w:b/>
                <w:bCs/>
                <w:sz w:val="20"/>
              </w:rPr>
              <w:t>2020</w:t>
            </w:r>
            <w:r w:rsidR="00A57AB6" w:rsidRPr="00A57AB6">
              <w:rPr>
                <w:rFonts w:cs="Arial"/>
                <w:b/>
                <w:bCs/>
                <w:sz w:val="20"/>
              </w:rPr>
              <w:t xml:space="preserve"> zaslaly banky Finančn</w:t>
            </w:r>
            <w:r w:rsidR="00693383">
              <w:rPr>
                <w:rFonts w:cs="Arial"/>
                <w:b/>
                <w:bCs/>
                <w:sz w:val="20"/>
              </w:rPr>
              <w:t>ímu</w:t>
            </w:r>
            <w:r w:rsidR="00A57AB6" w:rsidRPr="00A57AB6">
              <w:rPr>
                <w:rFonts w:cs="Arial"/>
                <w:b/>
                <w:bCs/>
                <w:sz w:val="20"/>
              </w:rPr>
              <w:t xml:space="preserve"> analytickému úřadu </w:t>
            </w:r>
            <w:r w:rsidRPr="00A57AB6">
              <w:rPr>
                <w:rFonts w:cs="Arial"/>
                <w:b/>
                <w:bCs/>
                <w:sz w:val="20"/>
              </w:rPr>
              <w:t>celkem 42 562 oznámení podezřelých obchodů</w:t>
            </w:r>
            <w:r w:rsidR="00A57AB6" w:rsidRPr="00A57AB6">
              <w:rPr>
                <w:rFonts w:cs="Arial"/>
                <w:b/>
                <w:bCs/>
                <w:sz w:val="20"/>
              </w:rPr>
              <w:t>. Od začátku roku 2016 do poloviny roku 2020 to přitom bylo 12 438 podnětů.</w:t>
            </w:r>
            <w:r w:rsidR="000E2AF6">
              <w:rPr>
                <w:rFonts w:cs="Arial"/>
                <w:b/>
                <w:bCs/>
                <w:sz w:val="20"/>
              </w:rPr>
              <w:t xml:space="preserve">  V posledních letech se počet podání blíží třem tisícům ročně.</w:t>
            </w:r>
          </w:p>
          <w:p w14:paraId="0AFFE2E2" w14:textId="5339395C" w:rsidR="00383FD6" w:rsidRPr="003E49FF" w:rsidRDefault="00383FD6" w:rsidP="003E49FF">
            <w:pPr>
              <w:rPr>
                <w:sz w:val="20"/>
              </w:rPr>
            </w:pPr>
          </w:p>
        </w:tc>
      </w:tr>
    </w:tbl>
    <w:p w14:paraId="251F8772" w14:textId="4153A8DD" w:rsidR="000E32D1" w:rsidRPr="005C7CB8" w:rsidRDefault="003E49FF" w:rsidP="000E32D1">
      <w:pPr>
        <w:rPr>
          <w:i/>
          <w:iCs/>
          <w:sz w:val="24"/>
          <w:szCs w:val="24"/>
        </w:rPr>
      </w:pPr>
      <w:r w:rsidRPr="005C7CB8">
        <w:rPr>
          <w:i/>
          <w:iCs/>
          <w:szCs w:val="18"/>
        </w:rPr>
        <w:t xml:space="preserve">  </w:t>
      </w:r>
      <w:r w:rsidRPr="005C7CB8">
        <w:rPr>
          <w:i/>
          <w:iCs/>
          <w:szCs w:val="18"/>
        </w:rPr>
        <w:t>Zdroj: Finanční analytický úřad</w:t>
      </w:r>
    </w:p>
    <w:p w14:paraId="24413243" w14:textId="77777777" w:rsidR="000E32D1" w:rsidRPr="003B18C4" w:rsidRDefault="000E32D1" w:rsidP="000E32D1">
      <w:pPr>
        <w:rPr>
          <w:sz w:val="20"/>
        </w:rPr>
      </w:pPr>
    </w:p>
    <w:p w14:paraId="6840EFC8" w14:textId="77777777" w:rsidR="00543BD7" w:rsidRPr="006763B3" w:rsidRDefault="00543BD7" w:rsidP="00543BD7">
      <w:pPr>
        <w:rPr>
          <w:sz w:val="24"/>
          <w:szCs w:val="24"/>
        </w:rPr>
      </w:pPr>
    </w:p>
    <w:p w14:paraId="7271006B" w14:textId="56C57273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6FC4963E" w14:textId="63C4BB03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2FC19C7F" w14:textId="319D8D01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437232D" w14:textId="524D379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3BF82629" w14:textId="46EABE64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32456875" w:rsidR="00D36238" w:rsidRDefault="006763B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1E092125">
                <wp:simplePos x="0" y="0"/>
                <wp:positionH relativeFrom="margin">
                  <wp:posOffset>635</wp:posOffset>
                </wp:positionH>
                <wp:positionV relativeFrom="paragraph">
                  <wp:posOffset>116205</wp:posOffset>
                </wp:positionV>
                <wp:extent cx="6590030" cy="1592580"/>
                <wp:effectExtent l="0" t="0" r="1270" b="762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159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9CC0B" w14:textId="77777777" w:rsidR="000E32D1" w:rsidRDefault="000E32D1" w:rsidP="000E32D1">
                            <w:pPr>
                              <w:spacing w:after="120" w:line="276" w:lineRule="auto"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0E32D1">
                              <w:rPr>
                                <w:rFonts w:cs="Arial"/>
                                <w:b/>
                                <w:bCs/>
                                <w:kern w:val="3"/>
                                <w:szCs w:val="18"/>
                                <w:lang w:eastAsia="zh-CN" w:bidi="hi-IN"/>
                              </w:rPr>
                              <w:t>Filip Hanzlík</w:t>
                            </w: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je náměstkem výkonného ředitele ČBA. Absolvoval magisterská studia na Právnické fakultě Univerzity Karlovy v Praze a postgraduální studium na Ann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Arbor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Law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School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, University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of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Michigan. </w:t>
                            </w:r>
                          </w:p>
                          <w:p w14:paraId="5707442F" w14:textId="2FBB7847" w:rsidR="006A7BEA" w:rsidRDefault="000E32D1" w:rsidP="00F8461A">
                            <w:pPr>
                              <w:spacing w:after="120" w:line="276" w:lineRule="auto"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V letech 1998-2011 působil na různých pozicích v advokacii. Od roku 2012 působí v České bankovní asociaci jako hlavní právník, od října 2015 pak jako náměstek</w:t>
                            </w:r>
                            <w:r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výkonného ředitele</w:t>
                            </w: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. Je stálým představitelem ČBA na jednáních Výkonného výboru Evropské bankovní federace a stálým zástupcem ČBA v regionálním uskupení bankovních asociací ČR, Slovenska, Maďarska, Polska, Slovinska, Chorvatska, Bulharska a Rumunska „V8“. </w:t>
                            </w:r>
                          </w:p>
                          <w:p w14:paraId="4602097E" w14:textId="1CDBB940" w:rsidR="00693383" w:rsidRPr="00693383" w:rsidRDefault="00693383" w:rsidP="00F8461A">
                            <w:pPr>
                              <w:spacing w:after="120" w:line="276" w:lineRule="auto"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Od 1. září 2020 je pověřen vedením ČBA.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.05pt;margin-top:9.15pt;width:518.9pt;height:125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" fillcolor="#bfbfbf [2412]" stroked="f" strokeweight="1pt">
                <v:textbox inset="3mm,3mm,3mm,3mm">
                  <w:txbxContent>
                    <w:p w14:paraId="0D59CC0B" w14:textId="77777777" w:rsidR="000E32D1" w:rsidRDefault="000E32D1" w:rsidP="000E32D1">
                      <w:pPr>
                        <w:spacing w:after="120" w:line="276" w:lineRule="auto"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 w:rsidRPr="000E32D1">
                        <w:rPr>
                          <w:rFonts w:cs="Arial"/>
                          <w:b/>
                          <w:bCs/>
                          <w:kern w:val="3"/>
                          <w:szCs w:val="18"/>
                          <w:lang w:eastAsia="zh-CN" w:bidi="hi-IN"/>
                        </w:rPr>
                        <w:t>Filip Hanzlík</w:t>
                      </w: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je náměstkem výkonného ředitele ČBA. Absolvoval magisterská studia na Právnické fakultě Univerzity Karlovy v Praze a postgraduální studium na Ann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Arbor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Law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School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, University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of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Michigan. </w:t>
                      </w:r>
                    </w:p>
                    <w:p w14:paraId="5707442F" w14:textId="2FBB7847" w:rsidR="006A7BEA" w:rsidRDefault="000E32D1" w:rsidP="00F8461A">
                      <w:pPr>
                        <w:spacing w:after="120" w:line="276" w:lineRule="auto"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V letech 1998-2011 působil na různých pozicích v advokacii. Od roku 2012 působí v České bankovní asociaci jako hlavní právník, od října 2015 pak jako náměstek</w:t>
                      </w:r>
                      <w:r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výkonného ředitele</w:t>
                      </w: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. Je stálým představitelem ČBA na jednáních Výkonného výboru Evropské bankovní federace a stálým zástupcem ČBA v regionálním uskupení bankovních asociací ČR, Slovenska, Maďarska, Polska, Slovinska, Chorvatska, Bulharska a Rumunska „V8“. </w:t>
                      </w:r>
                    </w:p>
                    <w:p w14:paraId="4602097E" w14:textId="1CDBB940" w:rsidR="00693383" w:rsidRPr="00693383" w:rsidRDefault="00693383" w:rsidP="00F8461A">
                      <w:pPr>
                        <w:spacing w:after="120" w:line="276" w:lineRule="auto"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Od 1. září 2020 je pověřen vedením ČBA.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3E387BFA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6DBEA0F2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18484413" w:rsidR="00FF052C" w:rsidRPr="00E27F2F" w:rsidRDefault="006763B3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66271326">
                <wp:simplePos x="0" y="0"/>
                <wp:positionH relativeFrom="margin">
                  <wp:posOffset>4391025</wp:posOffset>
                </wp:positionH>
                <wp:positionV relativeFrom="paragraph">
                  <wp:posOffset>128270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5.75pt;margin-top:10.1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B/y5x98AAAAL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549232A7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6380F1FC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B2DBC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10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P3x/CLaAAAA&#10;Bw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6380F1FC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B2DBC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AFF7A" w14:textId="5A1CA73A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343D" w14:textId="77777777" w:rsidR="007779FD" w:rsidRDefault="007779FD" w:rsidP="00F573F1">
      <w:r>
        <w:separator/>
      </w:r>
    </w:p>
  </w:endnote>
  <w:endnote w:type="continuationSeparator" w:id="0">
    <w:p w14:paraId="78BD2CE8" w14:textId="77777777" w:rsidR="007779FD" w:rsidRDefault="007779F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011D" w14:textId="77777777" w:rsidR="007779FD" w:rsidRDefault="007779FD" w:rsidP="00F573F1">
      <w:r>
        <w:separator/>
      </w:r>
    </w:p>
  </w:footnote>
  <w:footnote w:type="continuationSeparator" w:id="0">
    <w:p w14:paraId="74CE88E9" w14:textId="77777777" w:rsidR="007779FD" w:rsidRDefault="007779F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F33B6"/>
    <w:multiLevelType w:val="hybridMultilevel"/>
    <w:tmpl w:val="281629C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1823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74832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AF6"/>
    <w:rsid w:val="000E2B4E"/>
    <w:rsid w:val="000E32D1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53A7E"/>
    <w:rsid w:val="001622C2"/>
    <w:rsid w:val="001633ED"/>
    <w:rsid w:val="00163BEA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2A82"/>
    <w:rsid w:val="0025305E"/>
    <w:rsid w:val="00253237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1BA0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3FD6"/>
    <w:rsid w:val="003847A3"/>
    <w:rsid w:val="00391C4B"/>
    <w:rsid w:val="00391FA6"/>
    <w:rsid w:val="003947D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18C4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4CD"/>
    <w:rsid w:val="003E3DCB"/>
    <w:rsid w:val="003E49FF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515A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5AF0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4B06"/>
    <w:rsid w:val="00517111"/>
    <w:rsid w:val="005208BD"/>
    <w:rsid w:val="00521FF6"/>
    <w:rsid w:val="0053589B"/>
    <w:rsid w:val="00537D95"/>
    <w:rsid w:val="00543BD7"/>
    <w:rsid w:val="00546646"/>
    <w:rsid w:val="00552694"/>
    <w:rsid w:val="00553166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C7CB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AB4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63B3"/>
    <w:rsid w:val="006777C7"/>
    <w:rsid w:val="006839E8"/>
    <w:rsid w:val="00685F12"/>
    <w:rsid w:val="00693383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48BC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654D"/>
    <w:rsid w:val="007402C2"/>
    <w:rsid w:val="00743577"/>
    <w:rsid w:val="007609D5"/>
    <w:rsid w:val="00771AA1"/>
    <w:rsid w:val="007779FD"/>
    <w:rsid w:val="007813D1"/>
    <w:rsid w:val="0078687A"/>
    <w:rsid w:val="00786BB9"/>
    <w:rsid w:val="00786FE5"/>
    <w:rsid w:val="007953B5"/>
    <w:rsid w:val="007964DC"/>
    <w:rsid w:val="007A3BFB"/>
    <w:rsid w:val="007B02A8"/>
    <w:rsid w:val="007B2DBC"/>
    <w:rsid w:val="007B5E3D"/>
    <w:rsid w:val="007B6B28"/>
    <w:rsid w:val="007B7B44"/>
    <w:rsid w:val="007C4C83"/>
    <w:rsid w:val="007D275E"/>
    <w:rsid w:val="007D4025"/>
    <w:rsid w:val="007E1035"/>
    <w:rsid w:val="007E18D1"/>
    <w:rsid w:val="007E4F60"/>
    <w:rsid w:val="007E770A"/>
    <w:rsid w:val="007F12E8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0BA"/>
    <w:rsid w:val="00861279"/>
    <w:rsid w:val="008612B4"/>
    <w:rsid w:val="0086454A"/>
    <w:rsid w:val="00870102"/>
    <w:rsid w:val="00871576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EEC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5F66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26F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57AB6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6446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E7E84"/>
    <w:rsid w:val="00AF09A0"/>
    <w:rsid w:val="00AF18CA"/>
    <w:rsid w:val="00AF2AE5"/>
    <w:rsid w:val="00AF3AD9"/>
    <w:rsid w:val="00AF58F3"/>
    <w:rsid w:val="00B05777"/>
    <w:rsid w:val="00B11FB3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775CE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472E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3C93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10FCD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3B7B"/>
    <w:rsid w:val="00E642DC"/>
    <w:rsid w:val="00E64F71"/>
    <w:rsid w:val="00E67590"/>
    <w:rsid w:val="00E703B1"/>
    <w:rsid w:val="00E7045C"/>
    <w:rsid w:val="00E718EA"/>
    <w:rsid w:val="00E71A6E"/>
    <w:rsid w:val="00E72E55"/>
    <w:rsid w:val="00E742AD"/>
    <w:rsid w:val="00E77101"/>
    <w:rsid w:val="00E8148D"/>
    <w:rsid w:val="00E82DCF"/>
    <w:rsid w:val="00E8561A"/>
    <w:rsid w:val="00E85DE8"/>
    <w:rsid w:val="00E874D6"/>
    <w:rsid w:val="00E900CF"/>
    <w:rsid w:val="00E9372A"/>
    <w:rsid w:val="00E9520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17FC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321BA0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table" w:styleId="Mkatabulky">
    <w:name w:val="Table Grid"/>
    <w:basedOn w:val="Normlntabulka"/>
    <w:uiPriority w:val="39"/>
    <w:rsid w:val="00FD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cz/banky-a-a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11</cp:revision>
  <cp:lastPrinted>2020-02-18T12:08:00Z</cp:lastPrinted>
  <dcterms:created xsi:type="dcterms:W3CDTF">2020-09-23T13:20:00Z</dcterms:created>
  <dcterms:modified xsi:type="dcterms:W3CDTF">2020-09-24T12:37:00Z</dcterms:modified>
</cp:coreProperties>
</file>