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5EE89DC2" w:rsidR="00BF6F8D" w:rsidRPr="00517111" w:rsidRDefault="00805D3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8F35E0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8F35E0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5EE89DC2" w:rsidR="00BF6F8D" w:rsidRPr="00517111" w:rsidRDefault="00805D3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="008F35E0">
                        <w:rPr>
                          <w:color w:val="BFBFBF" w:themeColor="background1" w:themeShade="BF"/>
                        </w:rPr>
                        <w:t>1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8F35E0">
                        <w:rPr>
                          <w:color w:val="BFBFBF" w:themeColor="background1" w:themeShade="BF"/>
                        </w:rPr>
                        <w:t>7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19056F3F" w14:textId="698CD4A3" w:rsidR="007B7C9E" w:rsidRPr="008F35E0" w:rsidRDefault="008F35E0" w:rsidP="007B7C9E">
      <w:pPr>
        <w:spacing w:line="276" w:lineRule="auto"/>
        <w:rPr>
          <w:rFonts w:cs="Arial"/>
          <w:b/>
          <w:color w:val="007E79"/>
          <w:sz w:val="28"/>
          <w:szCs w:val="28"/>
        </w:rPr>
      </w:pPr>
      <w:r w:rsidRPr="008F35E0">
        <w:rPr>
          <w:rFonts w:cs="Arial"/>
          <w:bCs/>
          <w:color w:val="007E79"/>
          <w:sz w:val="24"/>
          <w:szCs w:val="24"/>
        </w:rPr>
        <w:t>Červen</w:t>
      </w:r>
      <w:r w:rsidR="007B7C9E" w:rsidRPr="008F35E0">
        <w:rPr>
          <w:rFonts w:cs="Arial"/>
          <w:bCs/>
          <w:color w:val="007E79"/>
          <w:sz w:val="24"/>
          <w:szCs w:val="24"/>
        </w:rPr>
        <w:t xml:space="preserve"> 2020: </w:t>
      </w:r>
      <w:r w:rsidRPr="008F35E0">
        <w:rPr>
          <w:bCs/>
          <w:color w:val="007E79"/>
          <w:sz w:val="24"/>
          <w:szCs w:val="24"/>
        </w:rPr>
        <w:t xml:space="preserve">Chladný květen, červen </w:t>
      </w:r>
      <w:r w:rsidR="001C61B7" w:rsidRPr="008F35E0">
        <w:rPr>
          <w:bCs/>
          <w:color w:val="007E79"/>
          <w:sz w:val="24"/>
          <w:szCs w:val="24"/>
        </w:rPr>
        <w:t>vlažný – je</w:t>
      </w:r>
      <w:r w:rsidRPr="008F35E0">
        <w:rPr>
          <w:bCs/>
          <w:color w:val="007E79"/>
          <w:sz w:val="24"/>
          <w:szCs w:val="24"/>
        </w:rPr>
        <w:t xml:space="preserve"> pro sýpky, sudy blažný</w:t>
      </w:r>
      <w:r>
        <w:rPr>
          <w:bCs/>
          <w:color w:val="007E79"/>
          <w:sz w:val="24"/>
          <w:szCs w:val="24"/>
        </w:rPr>
        <w:t>. I pro hypoteční trh</w:t>
      </w:r>
      <w:r w:rsidRPr="008F35E0">
        <w:rPr>
          <w:color w:val="007E79"/>
        </w:rPr>
        <w:t>.</w:t>
      </w:r>
    </w:p>
    <w:p w14:paraId="43A43244" w14:textId="779C68B4" w:rsidR="00805D3A" w:rsidRDefault="0014354F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2162C7E9">
                <wp:simplePos x="0" y="0"/>
                <wp:positionH relativeFrom="margin">
                  <wp:posOffset>-50165</wp:posOffset>
                </wp:positionH>
                <wp:positionV relativeFrom="paragraph">
                  <wp:posOffset>169545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761C70BB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</w:p>
                          <w:p w14:paraId="28C2259D" w14:textId="7D47619F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614A05" w:rsidRPr="00C57652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www.cbaonlinecz</w:t>
                              </w:r>
                            </w:hyperlink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-3.95pt;margin-top:13.35pt;width:509.25pt;height:28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761C70BB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ndexRPSN </w:t>
                      </w:r>
                    </w:p>
                    <w:p w14:paraId="28C2259D" w14:textId="7D47619F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ČBA ve své Statistice zavádí tzv. IndexRPSN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614A05" w:rsidRPr="00C57652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www.cbaonlinecz</w:t>
                        </w:r>
                      </w:hyperlink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ACB86" w14:textId="3A98164D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F1A5F" w14:textId="37EA4F7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02883C4B" w14:textId="2027DB1C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0E715A6D" w14:textId="0628EB0B" w:rsidR="00FA3112" w:rsidRDefault="00FA3112" w:rsidP="00FA3112">
      <w:pPr>
        <w:tabs>
          <w:tab w:val="left" w:pos="3660"/>
        </w:tabs>
        <w:spacing w:after="120" w:line="276" w:lineRule="auto"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</w:p>
    <w:p w14:paraId="2DA6C411" w14:textId="5241D985" w:rsidR="00FA3112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podle statistiky ČNB byla za </w:t>
      </w:r>
      <w:r>
        <w:rPr>
          <w:rFonts w:cs="Arial"/>
          <w:sz w:val="20"/>
        </w:rPr>
        <w:t>červen</w:t>
      </w:r>
      <w:r w:rsidRPr="00353644">
        <w:rPr>
          <w:rFonts w:cs="Arial"/>
          <w:sz w:val="20"/>
        </w:rPr>
        <w:t xml:space="preserve"> u hypotečních úvěrů na bydlení 2,</w:t>
      </w:r>
      <w:r>
        <w:rPr>
          <w:rFonts w:cs="Arial"/>
          <w:sz w:val="20"/>
        </w:rPr>
        <w:t>4</w:t>
      </w:r>
      <w:r w:rsidRPr="00353644">
        <w:rPr>
          <w:rFonts w:cs="Arial"/>
          <w:sz w:val="20"/>
        </w:rPr>
        <w:t xml:space="preserve">7 %. Oproti </w:t>
      </w:r>
      <w:r>
        <w:rPr>
          <w:rFonts w:cs="Arial"/>
          <w:sz w:val="20"/>
        </w:rPr>
        <w:t>květnu</w:t>
      </w:r>
      <w:r w:rsidRPr="00353644">
        <w:rPr>
          <w:rFonts w:cs="Arial"/>
          <w:sz w:val="20"/>
        </w:rPr>
        <w:t xml:space="preserve"> 2020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1</w:t>
      </w:r>
      <w:r w:rsidR="007D2B54">
        <w:rPr>
          <w:rFonts w:cs="Arial"/>
          <w:sz w:val="20"/>
        </w:rPr>
        <w:t>1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V </w:t>
      </w:r>
      <w:r>
        <w:rPr>
          <w:rFonts w:cs="Arial"/>
          <w:sz w:val="20"/>
        </w:rPr>
        <w:t>červnu</w:t>
      </w:r>
      <w:r w:rsidRPr="00353644">
        <w:rPr>
          <w:rFonts w:cs="Arial"/>
          <w:sz w:val="20"/>
        </w:rPr>
        <w:t xml:space="preserve"> 2019 byla 2,8</w:t>
      </w:r>
      <w:r>
        <w:rPr>
          <w:rFonts w:cs="Arial"/>
          <w:sz w:val="20"/>
        </w:rPr>
        <w:t>6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červnu</w:t>
      </w:r>
      <w:r w:rsidRPr="00353644">
        <w:rPr>
          <w:rFonts w:cs="Arial"/>
          <w:sz w:val="20"/>
        </w:rPr>
        <w:t xml:space="preserve"> 2020 došlo ke snížení za rok o </w:t>
      </w:r>
      <w:proofErr w:type="gramStart"/>
      <w:r w:rsidRPr="00353644">
        <w:rPr>
          <w:rFonts w:cs="Arial"/>
          <w:sz w:val="20"/>
        </w:rPr>
        <w:t>0,3</w:t>
      </w:r>
      <w:r>
        <w:rPr>
          <w:rFonts w:cs="Arial"/>
          <w:sz w:val="20"/>
        </w:rPr>
        <w:t>9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</w:t>
      </w:r>
    </w:p>
    <w:p w14:paraId="71BC8A0D" w14:textId="77777777" w:rsidR="00FA3112" w:rsidRPr="00353644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690918AB" w14:textId="4153E55D" w:rsidR="00FA3112" w:rsidRPr="000B0028" w:rsidRDefault="00FA3112" w:rsidP="00FA3112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="000B0028">
        <w:rPr>
          <w:sz w:val="20"/>
        </w:rPr>
        <w:t>:</w:t>
      </w:r>
    </w:p>
    <w:p w14:paraId="1D045361" w14:textId="04C3D6F1" w:rsidR="00FA3112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Poměrně výrazn</w:t>
      </w:r>
      <w:r w:rsidR="000B0028">
        <w:rPr>
          <w:rFonts w:cs="Arial"/>
          <w:i/>
          <w:iCs/>
          <w:sz w:val="20"/>
        </w:rPr>
        <w:t>é</w:t>
      </w:r>
      <w:r>
        <w:rPr>
          <w:rFonts w:cs="Arial"/>
          <w:i/>
          <w:iCs/>
          <w:sz w:val="20"/>
        </w:rPr>
        <w:t xml:space="preserve"> snížení, které už je pro spotřebitele citelné, je výsledkem konkurenčního boje bank. L</w:t>
      </w:r>
      <w:r w:rsidRPr="007B7C9E">
        <w:rPr>
          <w:rFonts w:cs="Arial"/>
          <w:i/>
          <w:iCs/>
          <w:sz w:val="20"/>
        </w:rPr>
        <w:t xml:space="preserve">ze očekávat, že tendence bude </w:t>
      </w:r>
      <w:r>
        <w:rPr>
          <w:rFonts w:cs="Arial"/>
          <w:i/>
          <w:iCs/>
          <w:sz w:val="20"/>
        </w:rPr>
        <w:t xml:space="preserve">nadále mírně </w:t>
      </w:r>
      <w:r w:rsidRPr="007B7C9E">
        <w:rPr>
          <w:rFonts w:cs="Arial"/>
          <w:i/>
          <w:iCs/>
          <w:sz w:val="20"/>
        </w:rPr>
        <w:t xml:space="preserve">klesající. Průměrná úroková sazba hypotečních úvěrů </w:t>
      </w:r>
      <w:r>
        <w:rPr>
          <w:rFonts w:cs="Arial"/>
          <w:i/>
          <w:iCs/>
          <w:sz w:val="20"/>
        </w:rPr>
        <w:t xml:space="preserve">na bydlení </w:t>
      </w:r>
      <w:r w:rsidRPr="007B7C9E">
        <w:rPr>
          <w:rFonts w:cs="Arial"/>
          <w:i/>
          <w:iCs/>
          <w:sz w:val="20"/>
        </w:rPr>
        <w:t>za stejné období byla dle ČNB 2,3</w:t>
      </w:r>
      <w:r>
        <w:rPr>
          <w:rFonts w:cs="Arial"/>
          <w:i/>
          <w:iCs/>
          <w:sz w:val="20"/>
        </w:rPr>
        <w:t>0</w:t>
      </w:r>
      <w:r w:rsidRPr="007B7C9E">
        <w:rPr>
          <w:rFonts w:cs="Arial"/>
          <w:i/>
          <w:iCs/>
          <w:sz w:val="20"/>
        </w:rPr>
        <w:t xml:space="preserve"> % </w:t>
      </w:r>
      <w:r w:rsidRPr="003F4201">
        <w:rPr>
          <w:rFonts w:cs="Arial"/>
          <w:sz w:val="20"/>
        </w:rPr>
        <w:t>(POZOR, nelze srovnávat s Fincentrum Hypoindexem, neboť ten nezahrnuje stavební spořitelny</w:t>
      </w:r>
      <w:r>
        <w:rPr>
          <w:rFonts w:cs="Arial"/>
          <w:sz w:val="20"/>
        </w:rPr>
        <w:t>!</w:t>
      </w:r>
      <w:r w:rsidRPr="003F4201">
        <w:rPr>
          <w:rFonts w:cs="Arial"/>
          <w:sz w:val="20"/>
        </w:rPr>
        <w:t>)</w:t>
      </w:r>
      <w:r w:rsidRPr="007B7C9E">
        <w:rPr>
          <w:rFonts w:cs="Arial"/>
          <w:i/>
          <w:iCs/>
          <w:sz w:val="20"/>
        </w:rPr>
        <w:t xml:space="preserve">. Rozdíl </w:t>
      </w:r>
      <w:proofErr w:type="gramStart"/>
      <w:r w:rsidRPr="007B7C9E">
        <w:rPr>
          <w:rFonts w:cs="Arial"/>
          <w:i/>
          <w:iCs/>
          <w:sz w:val="20"/>
        </w:rPr>
        <w:t>0,1</w:t>
      </w:r>
      <w:r>
        <w:rPr>
          <w:rFonts w:cs="Arial"/>
          <w:i/>
          <w:iCs/>
          <w:sz w:val="20"/>
        </w:rPr>
        <w:t>7</w:t>
      </w:r>
      <w:r w:rsidRPr="007B7C9E">
        <w:rPr>
          <w:rFonts w:cs="Arial"/>
          <w:i/>
          <w:iCs/>
          <w:sz w:val="20"/>
        </w:rPr>
        <w:t xml:space="preserve"> procentního</w:t>
      </w:r>
      <w:proofErr w:type="gramEnd"/>
      <w:r w:rsidRPr="007B7C9E">
        <w:rPr>
          <w:rFonts w:cs="Arial"/>
          <w:i/>
          <w:iCs/>
          <w:sz w:val="20"/>
        </w:rPr>
        <w:t xml:space="preserve"> bodu mezi </w:t>
      </w:r>
      <w:r w:rsidR="000B0028">
        <w:rPr>
          <w:rFonts w:cs="Arial"/>
          <w:i/>
          <w:iCs/>
          <w:sz w:val="20"/>
        </w:rPr>
        <w:t>I</w:t>
      </w:r>
      <w:r w:rsidRPr="007B7C9E">
        <w:rPr>
          <w:rFonts w:cs="Arial"/>
          <w:i/>
          <w:iCs/>
          <w:sz w:val="20"/>
        </w:rPr>
        <w:t xml:space="preserve">ndexem RPSN a průměrnou úrokovou sazbou jsou náklady bank nad úrokovou sazbu. </w:t>
      </w:r>
    </w:p>
    <w:p w14:paraId="49FF825C" w14:textId="77777777" w:rsidR="00FA3112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6A38E041" w14:textId="77777777" w:rsidR="00FA3112" w:rsidRPr="007B7C9E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noProof/>
        </w:rPr>
        <w:lastRenderedPageBreak/>
        <w:drawing>
          <wp:inline distT="0" distB="0" distL="0" distR="0" wp14:anchorId="2D02744B" wp14:editId="523419F7">
            <wp:extent cx="3819600" cy="28080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1FD7" w14:textId="76EADF1E" w:rsidR="00FA3112" w:rsidRPr="000B0028" w:rsidRDefault="00FA3112" w:rsidP="000B0028">
      <w:pPr>
        <w:tabs>
          <w:tab w:val="left" w:pos="2268"/>
        </w:tabs>
        <w:spacing w:after="120" w:line="276" w:lineRule="auto"/>
        <w:ind w:left="709"/>
        <w:contextualSpacing/>
        <w:rPr>
          <w:sz w:val="16"/>
          <w:szCs w:val="16"/>
        </w:rPr>
      </w:pPr>
      <w:r w:rsidRPr="000B0028">
        <w:rPr>
          <w:sz w:val="16"/>
          <w:szCs w:val="16"/>
        </w:rPr>
        <w:t xml:space="preserve">                     </w:t>
      </w:r>
      <w:r w:rsidR="000B0028">
        <w:rPr>
          <w:sz w:val="16"/>
          <w:szCs w:val="16"/>
        </w:rPr>
        <w:tab/>
      </w:r>
      <w:r w:rsidRPr="000B0028">
        <w:rPr>
          <w:sz w:val="16"/>
          <w:szCs w:val="16"/>
        </w:rPr>
        <w:t xml:space="preserve">                                    (Zdroj: Statistika ARAD, ČNB)</w:t>
      </w:r>
    </w:p>
    <w:p w14:paraId="0B3875D0" w14:textId="77777777" w:rsidR="000B0028" w:rsidRDefault="000B0028" w:rsidP="00FA3112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54C88E28" w14:textId="1CCD4E10" w:rsidR="00FA3112" w:rsidRPr="00353644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48BB1968" w14:textId="2BA7344A" w:rsidR="00FA3112" w:rsidRDefault="00FA3112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488DBC25" w14:textId="77777777" w:rsidR="00FA3112" w:rsidRDefault="00FA3112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56FFBA9E" w14:textId="77777777" w:rsidR="00FA3112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4CCA8C90" w:rsidR="007B7C9E" w:rsidRPr="00353644" w:rsidRDefault="007B7C9E" w:rsidP="00FA3112">
      <w:pPr>
        <w:tabs>
          <w:tab w:val="left" w:pos="3660"/>
        </w:tabs>
        <w:spacing w:after="120" w:line="276" w:lineRule="auto"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2717C7F2" w14:textId="21CDB5E7" w:rsidR="007B7C9E" w:rsidRDefault="003F4201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Skutečně n</w:t>
      </w:r>
      <w:r w:rsidR="007B7C9E" w:rsidRPr="007B7C9E">
        <w:rPr>
          <w:sz w:val="20"/>
        </w:rPr>
        <w:t xml:space="preserve">ové hypoteční úvěry na bydlení od bank a stavebních spořitelen dosáhly v </w:t>
      </w:r>
      <w:r w:rsidR="008F35E0">
        <w:rPr>
          <w:sz w:val="20"/>
        </w:rPr>
        <w:t>červnu</w:t>
      </w:r>
      <w:r w:rsidR="007B7C9E" w:rsidRPr="007B7C9E">
        <w:rPr>
          <w:sz w:val="20"/>
        </w:rPr>
        <w:t xml:space="preserve"> </w:t>
      </w:r>
      <w:r w:rsidR="005F75AC">
        <w:rPr>
          <w:sz w:val="20"/>
        </w:rPr>
        <w:t xml:space="preserve">2020 </w:t>
      </w:r>
      <w:r w:rsidR="007B7C9E" w:rsidRPr="007B7C9E">
        <w:rPr>
          <w:sz w:val="20"/>
        </w:rPr>
        <w:t>celkového objemu 1</w:t>
      </w:r>
      <w:r w:rsidR="005F75AC">
        <w:rPr>
          <w:sz w:val="20"/>
        </w:rPr>
        <w:t>8</w:t>
      </w:r>
      <w:r w:rsidR="007B7C9E" w:rsidRPr="007B7C9E">
        <w:rPr>
          <w:sz w:val="20"/>
        </w:rPr>
        <w:t xml:space="preserve">,8 mld. Kč. To je o </w:t>
      </w:r>
      <w:r w:rsidR="005F75AC">
        <w:rPr>
          <w:sz w:val="20"/>
        </w:rPr>
        <w:t>27</w:t>
      </w:r>
      <w:r w:rsidR="007B7C9E" w:rsidRPr="007B7C9E">
        <w:rPr>
          <w:sz w:val="20"/>
        </w:rPr>
        <w:t xml:space="preserve"> % </w:t>
      </w:r>
      <w:r w:rsidR="005F75AC">
        <w:rPr>
          <w:sz w:val="20"/>
        </w:rPr>
        <w:t>více</w:t>
      </w:r>
      <w:r w:rsidR="007B7C9E" w:rsidRPr="007B7C9E">
        <w:rPr>
          <w:sz w:val="20"/>
        </w:rPr>
        <w:t xml:space="preserve"> než v letošním </w:t>
      </w:r>
      <w:r w:rsidR="005F75AC">
        <w:rPr>
          <w:sz w:val="20"/>
        </w:rPr>
        <w:t>květnu a o 28 %</w:t>
      </w:r>
      <w:r w:rsidR="007B7C9E" w:rsidRPr="007B7C9E">
        <w:rPr>
          <w:sz w:val="20"/>
        </w:rPr>
        <w:t xml:space="preserve"> více než v </w:t>
      </w:r>
      <w:r w:rsidR="00966D19">
        <w:rPr>
          <w:sz w:val="20"/>
        </w:rPr>
        <w:t>červnu</w:t>
      </w:r>
      <w:r w:rsidR="007B7C9E" w:rsidRPr="007B7C9E">
        <w:rPr>
          <w:sz w:val="20"/>
        </w:rPr>
        <w:t xml:space="preserve"> 2019. </w:t>
      </w:r>
    </w:p>
    <w:p w14:paraId="173CC9F6" w14:textId="28F8CD62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noProof/>
        </w:rPr>
      </w:pPr>
    </w:p>
    <w:p w14:paraId="6BEBEE82" w14:textId="0218E85C" w:rsidR="00353644" w:rsidRPr="007B7C9E" w:rsidRDefault="00353644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565E5EC9" w14:textId="33B63085" w:rsidR="007B7C9E" w:rsidRPr="007B7C9E" w:rsidRDefault="00966D19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noProof/>
        </w:rPr>
        <w:drawing>
          <wp:inline distT="0" distB="0" distL="0" distR="0" wp14:anchorId="770B9A08" wp14:editId="6F702831">
            <wp:extent cx="3873600" cy="2840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60A2" w14:textId="552C7872" w:rsidR="007B7C9E" w:rsidRPr="00EF56B3" w:rsidRDefault="00966D19" w:rsidP="00EF56B3">
      <w:pPr>
        <w:tabs>
          <w:tab w:val="left" w:pos="4395"/>
        </w:tabs>
        <w:spacing w:after="120" w:line="276" w:lineRule="auto"/>
        <w:ind w:left="1418"/>
        <w:contextualSpacing/>
        <w:rPr>
          <w:sz w:val="16"/>
          <w:szCs w:val="16"/>
        </w:rPr>
      </w:pPr>
      <w:bookmarkStart w:id="0" w:name="_Hlk47098926"/>
      <w:r w:rsidRPr="00EF56B3">
        <w:rPr>
          <w:sz w:val="16"/>
          <w:szCs w:val="16"/>
        </w:rPr>
        <w:t xml:space="preserve">                                                        </w:t>
      </w:r>
      <w:r w:rsidR="00353644" w:rsidRPr="00EF56B3">
        <w:rPr>
          <w:sz w:val="16"/>
          <w:szCs w:val="16"/>
        </w:rPr>
        <w:t>(Zdroj: Statistika ARAD, ČNB)</w:t>
      </w:r>
    </w:p>
    <w:bookmarkEnd w:id="0"/>
    <w:p w14:paraId="26ECCE19" w14:textId="77777777" w:rsidR="00353644" w:rsidRDefault="00353644" w:rsidP="00EF56B3">
      <w:pPr>
        <w:tabs>
          <w:tab w:val="left" w:pos="3544"/>
        </w:tabs>
        <w:spacing w:after="120" w:line="276" w:lineRule="auto"/>
        <w:ind w:left="1418"/>
        <w:contextualSpacing/>
        <w:rPr>
          <w:i/>
          <w:iCs/>
          <w:sz w:val="20"/>
        </w:rPr>
      </w:pPr>
    </w:p>
    <w:p w14:paraId="785535BB" w14:textId="77777777" w:rsidR="00966D19" w:rsidRDefault="00966D19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7E54F67D" w14:textId="77777777" w:rsidR="00966D19" w:rsidRDefault="00966D19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26429423" w14:textId="77777777" w:rsidR="00EF56B3" w:rsidRDefault="00EF56B3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39C713B0" w14:textId="77777777" w:rsidR="00EF56B3" w:rsidRDefault="00EF56B3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31E1A18A" w14:textId="6339C1A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1C2EE0EC" w14:textId="77777777" w:rsidR="0055016A" w:rsidRDefault="007B7C9E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7B7C9E">
        <w:rPr>
          <w:i/>
          <w:iCs/>
          <w:sz w:val="20"/>
        </w:rPr>
        <w:t xml:space="preserve">Letošní </w:t>
      </w:r>
      <w:r w:rsidR="00966D19">
        <w:rPr>
          <w:i/>
          <w:iCs/>
          <w:sz w:val="20"/>
        </w:rPr>
        <w:t>červen</w:t>
      </w:r>
      <w:r w:rsidRPr="007B7C9E">
        <w:rPr>
          <w:i/>
          <w:iCs/>
          <w:sz w:val="20"/>
        </w:rPr>
        <w:t xml:space="preserve"> </w:t>
      </w:r>
      <w:r w:rsidR="00966D19">
        <w:rPr>
          <w:i/>
          <w:iCs/>
          <w:sz w:val="20"/>
        </w:rPr>
        <w:t>byl historicky za mnoho let jedním z nejsilnějších měsíců v prodejích hypoték na trhu. Jak si vysvětlit takový nárůst</w:t>
      </w:r>
      <w:r w:rsidR="0055016A">
        <w:rPr>
          <w:i/>
          <w:iCs/>
          <w:sz w:val="20"/>
        </w:rPr>
        <w:t xml:space="preserve"> v době, kdy slyšíme kolem sebe tolik negativních zpráv a k tomu ceny rezidenčních nemovitostí neklesají? Vysvětlení je v poklesu RPSN potažmo úrokových sazeb. Banky se předhánějí, kdo nabídne lepší podmínky. Média to reflektují a tím pádem i spotřebitelé. Ti, protože jsou finančně gramotní, vnímají, že RPSN se blíží svým historickým minimům a chtějí využít příležitost na trhu.</w:t>
      </w:r>
    </w:p>
    <w:p w14:paraId="7E32C8C3" w14:textId="77777777" w:rsidR="0055016A" w:rsidRDefault="0055016A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50A18FC6" w14:textId="4DD44C9C" w:rsidR="00966D19" w:rsidRDefault="0055016A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Dalším silným důvodem bylo rozhodnutí Parlamentu o zrušení 4</w:t>
      </w:r>
      <w:r w:rsidR="00FA3112">
        <w:rPr>
          <w:i/>
          <w:iCs/>
          <w:sz w:val="20"/>
        </w:rPr>
        <w:t>%</w:t>
      </w:r>
      <w:r>
        <w:rPr>
          <w:i/>
          <w:iCs/>
          <w:sz w:val="20"/>
        </w:rPr>
        <w:t xml:space="preserve"> daně z </w:t>
      </w:r>
      <w:r w:rsidR="00EF56B3">
        <w:rPr>
          <w:i/>
          <w:iCs/>
          <w:sz w:val="20"/>
        </w:rPr>
        <w:t>nabytí</w:t>
      </w:r>
      <w:r>
        <w:rPr>
          <w:i/>
          <w:iCs/>
          <w:sz w:val="20"/>
        </w:rPr>
        <w:t xml:space="preserve"> nemovitosti a zachování možnosti odpočtu úroků od daňového základu. Zejména zrušení daně z </w:t>
      </w:r>
      <w:r w:rsidR="00E80149">
        <w:rPr>
          <w:i/>
          <w:iCs/>
          <w:sz w:val="20"/>
        </w:rPr>
        <w:t>nabytí</w:t>
      </w:r>
      <w:r>
        <w:rPr>
          <w:i/>
          <w:iCs/>
          <w:sz w:val="20"/>
        </w:rPr>
        <w:t xml:space="preserve"> nemovitosti odbrzdilo řadu zájemců o bydlení, kteří na tento moment čekali.</w:t>
      </w:r>
      <w:r w:rsidR="007B7C9E" w:rsidRPr="007B7C9E">
        <w:rPr>
          <w:i/>
          <w:iCs/>
          <w:sz w:val="20"/>
        </w:rPr>
        <w:t xml:space="preserve"> </w:t>
      </w:r>
    </w:p>
    <w:p w14:paraId="05F2B6F1" w14:textId="0077B94D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55D728B5" w14:textId="77777777" w:rsidR="00FA3112" w:rsidRDefault="00FA3112" w:rsidP="00FA3112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6C324E51" w14:textId="77777777" w:rsidR="007B7C9E" w:rsidRPr="00353644" w:rsidRDefault="007B7C9E" w:rsidP="00FA3112">
      <w:pPr>
        <w:tabs>
          <w:tab w:val="left" w:pos="3660"/>
        </w:tabs>
        <w:spacing w:after="120" w:line="276" w:lineRule="auto"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1415051B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 w:rsidR="00C910CF">
        <w:rPr>
          <w:rFonts w:cs="Arial"/>
          <w:sz w:val="20"/>
        </w:rPr>
        <w:t>červen</w:t>
      </w:r>
      <w:r w:rsidRPr="007B7C9E">
        <w:rPr>
          <w:rFonts w:cs="Arial"/>
          <w:sz w:val="20"/>
        </w:rPr>
        <w:t xml:space="preserve"> představovalo 3</w:t>
      </w:r>
      <w:r w:rsidR="0055016A">
        <w:rPr>
          <w:rFonts w:cs="Arial"/>
          <w:sz w:val="20"/>
        </w:rPr>
        <w:t>,5</w:t>
      </w:r>
      <w:r w:rsidRPr="007B7C9E">
        <w:rPr>
          <w:rFonts w:cs="Arial"/>
          <w:sz w:val="20"/>
        </w:rPr>
        <w:t xml:space="preserve"> mld. Kč. V r. 2019 se tento objem pohyboval kolem 2 mld. Kč a stále postupně roste.</w:t>
      </w:r>
    </w:p>
    <w:p w14:paraId="37AB492F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C43C1FE" w14:textId="5FC2D34B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41235755" w14:textId="3F705235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 w:rsidRPr="007B7C9E">
        <w:rPr>
          <w:rFonts w:cs="Arial"/>
          <w:i/>
          <w:iCs/>
          <w:sz w:val="20"/>
        </w:rPr>
        <w:t xml:space="preserve">U refinancovaných úvěrů platí co do čísel </w:t>
      </w:r>
      <w:r w:rsidR="00E30B3F">
        <w:rPr>
          <w:rFonts w:cs="Arial"/>
          <w:i/>
          <w:iCs/>
          <w:sz w:val="20"/>
        </w:rPr>
        <w:t>ne</w:t>
      </w:r>
      <w:r w:rsidRPr="007B7C9E">
        <w:rPr>
          <w:rFonts w:cs="Arial"/>
          <w:i/>
          <w:iCs/>
          <w:sz w:val="20"/>
        </w:rPr>
        <w:t xml:space="preserve">přímá úměra k úrokovým sazbám. Čím více jdou sazby dolů, tím více lze očekávat objem refinancování. Největší měsíční objemy refinancování i přes 4 mld. Kč měsíčně byly koncem r. 2016 tj. v době, kdy úrokové sazby byly nejnižší. </w:t>
      </w:r>
      <w:r w:rsidR="00D54E1D">
        <w:rPr>
          <w:rFonts w:cs="Arial"/>
          <w:i/>
          <w:iCs/>
          <w:sz w:val="20"/>
        </w:rPr>
        <w:t xml:space="preserve">Jak je vidět z objemů refinancování za červen, začínáme se i tady blížit k historickým rekordům. </w:t>
      </w:r>
      <w:r w:rsidRPr="007B7C9E">
        <w:rPr>
          <w:rFonts w:cs="Arial"/>
          <w:i/>
          <w:iCs/>
          <w:sz w:val="20"/>
        </w:rPr>
        <w:t xml:space="preserve">V příštích měsících se dá očekávat, že při klesajících sazbách hypotečních úvěrů bude objem refinancování </w:t>
      </w:r>
      <w:r w:rsidR="00D54E1D">
        <w:rPr>
          <w:rFonts w:cs="Arial"/>
          <w:i/>
          <w:iCs/>
          <w:sz w:val="20"/>
        </w:rPr>
        <w:t>zůstávat vysoký.</w:t>
      </w:r>
    </w:p>
    <w:p w14:paraId="3B256073" w14:textId="5F9C3826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B60F6F8" w14:textId="77777777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421A687D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14354F">
      <w:headerReference w:type="default" r:id="rId12"/>
      <w:footerReference w:type="default" r:id="rId13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6828" w14:textId="77777777" w:rsidR="00B25D8C" w:rsidRDefault="00B25D8C" w:rsidP="00F573F1">
      <w:r>
        <w:separator/>
      </w:r>
    </w:p>
  </w:endnote>
  <w:endnote w:type="continuationSeparator" w:id="0">
    <w:p w14:paraId="5D764A2C" w14:textId="77777777" w:rsidR="00B25D8C" w:rsidRDefault="00B25D8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29C4" w14:textId="77777777" w:rsidR="00B25D8C" w:rsidRDefault="00B25D8C" w:rsidP="00F573F1">
      <w:r>
        <w:separator/>
      </w:r>
    </w:p>
  </w:footnote>
  <w:footnote w:type="continuationSeparator" w:id="0">
    <w:p w14:paraId="7A5BDC00" w14:textId="77777777" w:rsidR="00B25D8C" w:rsidRDefault="00B25D8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0028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268F"/>
    <w:rsid w:val="0010277A"/>
    <w:rsid w:val="0010673E"/>
    <w:rsid w:val="001126B2"/>
    <w:rsid w:val="0011443F"/>
    <w:rsid w:val="00116F4B"/>
    <w:rsid w:val="00123FF9"/>
    <w:rsid w:val="00126F1D"/>
    <w:rsid w:val="00131E94"/>
    <w:rsid w:val="0014354F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1B7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1AD2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2B54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5E0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5D8C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149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56B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3112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8</cp:revision>
  <cp:lastPrinted>2020-02-18T12:08:00Z</cp:lastPrinted>
  <dcterms:created xsi:type="dcterms:W3CDTF">2020-07-31T12:54:00Z</dcterms:created>
  <dcterms:modified xsi:type="dcterms:W3CDTF">2020-07-31T15:14:00Z</dcterms:modified>
</cp:coreProperties>
</file>