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6F2F36DB" w:rsidR="005B644B" w:rsidRPr="00B35B21" w:rsidRDefault="00F924F0" w:rsidP="005B644B">
      <w:pPr>
        <w:rPr>
          <w:rFonts w:cs="Arial"/>
          <w:b/>
          <w:sz w:val="20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F924F0" w:rsidRDefault="00F924F0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07473FA6" w:rsidR="00F924F0" w:rsidRPr="00517111" w:rsidRDefault="00752FA9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A214D4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A214D4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F924F0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F924F0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F924F0" w:rsidRDefault="00F924F0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07473FA6" w:rsidR="00F924F0" w:rsidRPr="00517111" w:rsidRDefault="00752FA9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="00A214D4"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A214D4">
                        <w:rPr>
                          <w:color w:val="BFBFBF" w:themeColor="background1" w:themeShade="BF"/>
                        </w:rPr>
                        <w:t>7</w:t>
                      </w:r>
                      <w:r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F924F0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F924F0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A214D4">
        <w:rPr>
          <w:rFonts w:cs="Arial"/>
          <w:b/>
          <w:color w:val="007E79"/>
          <w:sz w:val="28"/>
          <w:szCs w:val="28"/>
        </w:rPr>
        <w:t>červen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5F451F98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752FA9">
        <w:rPr>
          <w:rFonts w:cs="Arial"/>
          <w:b/>
          <w:color w:val="007E79"/>
          <w:sz w:val="22"/>
          <w:szCs w:val="22"/>
        </w:rPr>
        <w:t>3</w:t>
      </w:r>
      <w:r w:rsidR="00A214D4">
        <w:rPr>
          <w:rFonts w:cs="Arial"/>
          <w:b/>
          <w:color w:val="007E79"/>
          <w:sz w:val="22"/>
          <w:szCs w:val="22"/>
        </w:rPr>
        <w:t>1</w:t>
      </w:r>
      <w:r w:rsidR="00E05F33">
        <w:rPr>
          <w:rFonts w:cs="Arial"/>
          <w:b/>
          <w:color w:val="007E79"/>
          <w:sz w:val="22"/>
          <w:szCs w:val="22"/>
        </w:rPr>
        <w:t xml:space="preserve">. </w:t>
      </w:r>
      <w:r w:rsidR="00A214D4">
        <w:rPr>
          <w:rFonts w:cs="Arial"/>
          <w:b/>
          <w:color w:val="007E79"/>
          <w:sz w:val="22"/>
          <w:szCs w:val="22"/>
        </w:rPr>
        <w:t>července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1A1E3286" w14:textId="77777777" w:rsidR="00BD68E3" w:rsidRDefault="00BD68E3" w:rsidP="00BD68E3">
      <w:pPr>
        <w:rPr>
          <w:rFonts w:cs="Arial"/>
          <w:sz w:val="20"/>
        </w:rPr>
      </w:pPr>
    </w:p>
    <w:p w14:paraId="60AD265C" w14:textId="5AC7799D" w:rsidR="00566F13" w:rsidRDefault="00BD68E3" w:rsidP="00566F13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ČNB dnes vydala červnovou bankovní statistiku, podle níž </w:t>
      </w:r>
      <w:r w:rsidR="00566F13">
        <w:rPr>
          <w:rFonts w:cs="Arial"/>
          <w:b/>
          <w:bCs/>
          <w:sz w:val="20"/>
        </w:rPr>
        <w:t>o</w:t>
      </w:r>
      <w:r w:rsidR="00566F13">
        <w:rPr>
          <w:rFonts w:cs="Arial"/>
          <w:b/>
          <w:bCs/>
          <w:sz w:val="20"/>
        </w:rPr>
        <w:t>byvatelstvo zvedá své úložky v bankách</w:t>
      </w:r>
    </w:p>
    <w:p w14:paraId="1385033E" w14:textId="6DA58B42" w:rsidR="00BD68E3" w:rsidRDefault="00BD68E3" w:rsidP="00BD68E3">
      <w:pPr>
        <w:rPr>
          <w:rFonts w:cs="Arial"/>
          <w:bCs/>
          <w:sz w:val="16"/>
          <w:szCs w:val="16"/>
        </w:rPr>
      </w:pPr>
    </w:p>
    <w:p w14:paraId="7A8C8559" w14:textId="665934E3" w:rsidR="00BD68E3" w:rsidRDefault="00BD68E3" w:rsidP="00BD68E3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Objem bankovních úvěrů rezidentům</w:t>
      </w:r>
      <w:r>
        <w:rPr>
          <w:rFonts w:cs="Arial"/>
          <w:sz w:val="20"/>
        </w:rPr>
        <w:t xml:space="preserve"> ke konci června 2020 dosáhl 5,922</w:t>
      </w:r>
      <w:r>
        <w:rPr>
          <w:rFonts w:cs="Arial"/>
          <w:sz w:val="20"/>
        </w:rPr>
        <w:t xml:space="preserve"> bilionu korun</w:t>
      </w:r>
      <w:r>
        <w:rPr>
          <w:rFonts w:cs="Arial"/>
          <w:sz w:val="20"/>
        </w:rPr>
        <w:t xml:space="preserve">, což představuje poměrně významný pokles oproti květnovým 6,186 bilionu korun. V květnu přitom činil meziměsíční přírůstek deset a v dubnu čtrnáct miliard korun. Také </w:t>
      </w:r>
      <w:r>
        <w:rPr>
          <w:rFonts w:cs="Arial"/>
          <w:b/>
          <w:bCs/>
          <w:sz w:val="20"/>
        </w:rPr>
        <w:t xml:space="preserve">vklady rezidentů klesly na 5,225 bilionu korun z květnových </w:t>
      </w:r>
      <w:r>
        <w:rPr>
          <w:rFonts w:cs="Arial"/>
          <w:b/>
          <w:sz w:val="20"/>
        </w:rPr>
        <w:t>5,469 bilionu korun</w:t>
      </w:r>
      <w:r>
        <w:rPr>
          <w:rFonts w:cs="Arial"/>
          <w:b/>
          <w:bCs/>
          <w:sz w:val="20"/>
        </w:rPr>
        <w:t>, přitom v předchozích měsících zaznamenávaly poměrně vysoký růst (v květnu</w:t>
      </w:r>
      <w:r>
        <w:rPr>
          <w:rFonts w:cs="Arial"/>
          <w:sz w:val="20"/>
        </w:rPr>
        <w:t xml:space="preserve"> 53 miliard korun).</w:t>
      </w:r>
    </w:p>
    <w:p w14:paraId="7BE4A4AF" w14:textId="77777777" w:rsidR="00BD68E3" w:rsidRDefault="00BD68E3" w:rsidP="00BD68E3">
      <w:pPr>
        <w:rPr>
          <w:rFonts w:cs="Arial"/>
          <w:sz w:val="20"/>
        </w:rPr>
      </w:pPr>
    </w:p>
    <w:p w14:paraId="0D8EC96F" w14:textId="4FF53A86" w:rsidR="00BD68E3" w:rsidRDefault="00BD68E3" w:rsidP="00BD68E3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Domácnosti dluží celkem 1,794 bilionu korun</w:t>
      </w:r>
      <w:r>
        <w:rPr>
          <w:rFonts w:cs="Arial"/>
          <w:sz w:val="20"/>
        </w:rPr>
        <w:t>, s měsíčním nárůstem o 13 miliard korun. Stále jasně dominují – s podílem téměř 77 % – úvěry na bydlení, jež stouply o 0,7</w:t>
      </w:r>
      <w:r w:rsidR="00CD2579">
        <w:rPr>
          <w:rFonts w:cs="Arial"/>
          <w:sz w:val="20"/>
        </w:rPr>
        <w:t xml:space="preserve"> </w:t>
      </w:r>
      <w:r>
        <w:rPr>
          <w:rFonts w:cs="Arial"/>
          <w:sz w:val="20"/>
        </w:rPr>
        <w:t>% z 1,364 bilionu korun na 1,374 bilionu</w:t>
      </w:r>
      <w:r w:rsidR="00CD2579">
        <w:rPr>
          <w:rFonts w:cs="Arial"/>
          <w:sz w:val="20"/>
        </w:rPr>
        <w:t xml:space="preserve"> korun</w:t>
      </w:r>
      <w:r>
        <w:rPr>
          <w:rFonts w:cs="Arial"/>
          <w:sz w:val="20"/>
        </w:rPr>
        <w:t xml:space="preserve">, zatímco spotřebitelské úvěry </w:t>
      </w:r>
      <w:r w:rsidR="00CD2579">
        <w:rPr>
          <w:rFonts w:cs="Arial"/>
          <w:sz w:val="20"/>
        </w:rPr>
        <w:t xml:space="preserve">meziměsíčně </w:t>
      </w:r>
      <w:r>
        <w:rPr>
          <w:rFonts w:cs="Arial"/>
          <w:sz w:val="20"/>
        </w:rPr>
        <w:t xml:space="preserve">stouply o půl procenta na 262 miliard korun. </w:t>
      </w:r>
    </w:p>
    <w:p w14:paraId="39D2648B" w14:textId="77777777" w:rsidR="00BD68E3" w:rsidRDefault="00BD68E3" w:rsidP="00BD68E3">
      <w:pPr>
        <w:rPr>
          <w:rFonts w:cs="Arial"/>
          <w:sz w:val="20"/>
        </w:rPr>
      </w:pPr>
    </w:p>
    <w:p w14:paraId="5767EB55" w14:textId="77777777" w:rsidR="00BD68E3" w:rsidRDefault="00BD68E3" w:rsidP="00BD68E3">
      <w:pPr>
        <w:rPr>
          <w:rFonts w:cs="Arial"/>
          <w:sz w:val="20"/>
        </w:rPr>
      </w:pPr>
      <w:r>
        <w:rPr>
          <w:rFonts w:cs="Arial"/>
          <w:sz w:val="20"/>
        </w:rPr>
        <w:t xml:space="preserve">V případě domácností </w:t>
      </w:r>
      <w:r>
        <w:rPr>
          <w:rFonts w:cs="Arial"/>
          <w:b/>
          <w:bCs/>
          <w:sz w:val="20"/>
        </w:rPr>
        <w:t>podíl úvěrů v selhání</w:t>
      </w:r>
      <w:r>
        <w:rPr>
          <w:rFonts w:cs="Arial"/>
          <w:sz w:val="20"/>
        </w:rPr>
        <w:t xml:space="preserve"> v červnu poklesl na 1,6 % (před tím se držel čtvrt roku na 1,7 %), ale vypovídací schopnost tohoto důležitého ukazatele poznamenávají poskytnuté odklady splátek, ať již na základě dobrovolné dohody bank s klienty, anebo přímo ze zákona. </w:t>
      </w:r>
    </w:p>
    <w:p w14:paraId="48BBF69E" w14:textId="77777777" w:rsidR="00BD68E3" w:rsidRDefault="00BD68E3" w:rsidP="00BD68E3">
      <w:pPr>
        <w:rPr>
          <w:rFonts w:cs="Arial"/>
          <w:sz w:val="20"/>
        </w:rPr>
      </w:pPr>
    </w:p>
    <w:p w14:paraId="6DF0E3F6" w14:textId="6A0733F1" w:rsidR="00BD68E3" w:rsidRDefault="00BD68E3" w:rsidP="00BD68E3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Obyvatelstvo zvedá svoje finanční rezervy</w:t>
      </w:r>
      <w:r>
        <w:rPr>
          <w:rFonts w:cs="Arial"/>
          <w:sz w:val="20"/>
        </w:rPr>
        <w:t xml:space="preserve"> v bankách, vklady v korunách i v cizí měně v přepočtu meziměsíčně stouply z 2,662 bilionu korun na 2,680 bilionu</w:t>
      </w:r>
      <w:r w:rsidR="00CD2579">
        <w:rPr>
          <w:rFonts w:cs="Arial"/>
          <w:sz w:val="20"/>
        </w:rPr>
        <w:t xml:space="preserve"> korun</w:t>
      </w:r>
      <w:r>
        <w:rPr>
          <w:rFonts w:cs="Arial"/>
          <w:sz w:val="20"/>
        </w:rPr>
        <w:t>. Překvapivý je pokračující nárůst vkladů i živnostníků o zhruba 3 miliardy na 154,8 miliardy korun.</w:t>
      </w:r>
    </w:p>
    <w:p w14:paraId="4D664908" w14:textId="77777777" w:rsidR="00BD68E3" w:rsidRDefault="00BD68E3" w:rsidP="00BD68E3">
      <w:pPr>
        <w:rPr>
          <w:rFonts w:cs="Arial"/>
          <w:sz w:val="20"/>
        </w:rPr>
      </w:pPr>
    </w:p>
    <w:p w14:paraId="680C8AB3" w14:textId="77777777" w:rsidR="00BD68E3" w:rsidRDefault="00BD68E3" w:rsidP="00BD68E3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V případě úvěrů v Česku působícím (nefinančním) </w:t>
      </w:r>
      <w:r>
        <w:rPr>
          <w:rFonts w:cs="Arial"/>
          <w:b/>
          <w:bCs/>
          <w:sz w:val="20"/>
        </w:rPr>
        <w:t xml:space="preserve">podnikům zaregistrovala ČNB mírný pokles o 9 miliard korun na </w:t>
      </w:r>
      <w:r>
        <w:rPr>
          <w:rFonts w:cs="Arial"/>
          <w:sz w:val="20"/>
        </w:rPr>
        <w:t xml:space="preserve">1,156 bilionu korun, přičemž procento úvěrů v selhání se drží blízko historických minim již třetí měsíc po sobě na hladině 3,2 %. Také v tomto případě bude záležet na tom, jak se projeví podzimní ukončení moratoria. Podíl dlouhodobých úvěrů, používaných pro financování podnikových investic, je stále 57 </w:t>
      </w:r>
      <w:r>
        <w:rPr>
          <w:rFonts w:cs="Arial"/>
          <w:bCs/>
          <w:sz w:val="20"/>
        </w:rPr>
        <w:t>%, byť po vypuknutí pandemie</w:t>
      </w:r>
      <w:r>
        <w:rPr>
          <w:rFonts w:cs="Arial"/>
          <w:b/>
          <w:sz w:val="20"/>
        </w:rPr>
        <w:t xml:space="preserve"> </w:t>
      </w:r>
      <w:r>
        <w:rPr>
          <w:rFonts w:cs="Arial"/>
          <w:bCs/>
          <w:sz w:val="20"/>
        </w:rPr>
        <w:t>došlo ve firemní sféře k silnému poklesu investiční aktivity.</w:t>
      </w:r>
    </w:p>
    <w:p w14:paraId="49F31D1E" w14:textId="77777777" w:rsidR="00BD68E3" w:rsidRDefault="00BD68E3" w:rsidP="00BD68E3">
      <w:pPr>
        <w:rPr>
          <w:rFonts w:cs="Arial"/>
          <w:sz w:val="20"/>
        </w:rPr>
      </w:pPr>
    </w:p>
    <w:p w14:paraId="0EB0D946" w14:textId="51E63891" w:rsidR="00BD68E3" w:rsidRDefault="00BD68E3" w:rsidP="00BD68E3">
      <w:pPr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 xml:space="preserve">Podniky nadále velmi opatrně přistupují k čerpání úvěrů, a na rozdíl od předchozích měsíců je však patrný pokles vkladů v bankách, které meziměsíčně klesly z 1,149 bilionu korun na 1,133 </w:t>
      </w:r>
      <w:r w:rsidR="00BB60FA">
        <w:rPr>
          <w:rFonts w:cs="Arial"/>
          <w:b/>
          <w:sz w:val="20"/>
        </w:rPr>
        <w:t>bilionu</w:t>
      </w:r>
      <w:r>
        <w:rPr>
          <w:rFonts w:cs="Arial"/>
          <w:b/>
          <w:sz w:val="20"/>
        </w:rPr>
        <w:t xml:space="preserve"> korun (včetně cizí měny). Úročené programy provozních úvěrů, garantovaných ČMZRB a EGAP, známých pod označením </w:t>
      </w:r>
      <w:r w:rsidR="00BB60FA">
        <w:rPr>
          <w:rFonts w:cs="Arial"/>
          <w:b/>
          <w:sz w:val="20"/>
        </w:rPr>
        <w:t>COVID</w:t>
      </w:r>
      <w:r>
        <w:rPr>
          <w:rFonts w:cs="Arial"/>
          <w:b/>
          <w:sz w:val="20"/>
        </w:rPr>
        <w:t xml:space="preserve"> III a </w:t>
      </w:r>
      <w:r w:rsidR="00BB60FA">
        <w:rPr>
          <w:rFonts w:cs="Arial"/>
          <w:b/>
          <w:sz w:val="20"/>
        </w:rPr>
        <w:t>COVID</w:t>
      </w:r>
      <w:r>
        <w:rPr>
          <w:rFonts w:cs="Arial"/>
          <w:b/>
          <w:sz w:val="20"/>
        </w:rPr>
        <w:t xml:space="preserve">+, rostou pomaleji, než se čekalo.  Vzhledem k tomu, že poslední konjunkturální průzkumy naznačují podstatně optimističtější očekávání podnikatelů ve zpracovatelském průmyslu v Česku, ale i v Německu, který je hlavním obchodním partnerem, předpokládáme vyšší zájem o čerpání provozních úvěrů v podzimních měsících. </w:t>
      </w:r>
    </w:p>
    <w:p w14:paraId="7BAD4759" w14:textId="77777777" w:rsidR="00137FD0" w:rsidRDefault="00137FD0" w:rsidP="00A54157">
      <w:pPr>
        <w:rPr>
          <w:rFonts w:cs="Arial"/>
          <w:sz w:val="20"/>
        </w:rPr>
      </w:pPr>
    </w:p>
    <w:p w14:paraId="5A712EC7" w14:textId="0F83DFA6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Pr="00CD2579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F5CF7"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autorovi</w:t>
                            </w:r>
                            <w:r w:rsidR="00877706"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Pr="00CD2579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5B644B" w:rsidRPr="00CD2579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CD2579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" fillcolor="#bfbfbf [2412]" stroked="f" strokeweight="1pt">
                <v:textbox inset="3mm,3mm,3mm,3mm">
                  <w:txbxContent>
                    <w:p w14:paraId="40DBABA2" w14:textId="77777777" w:rsidR="0065124E" w:rsidRPr="00CD2579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1F5CF7"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autorovi</w:t>
                      </w:r>
                      <w:r w:rsidR="00877706"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komentáře</w:t>
                      </w:r>
                    </w:p>
                    <w:p w14:paraId="46543A39" w14:textId="77777777" w:rsidR="005B644B" w:rsidRPr="00CD2579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5B644B" w:rsidRPr="00CD2579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6A7BEA" w:rsidRPr="00CD2579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CD257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CD257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207338E" w14:textId="21266615" w:rsidR="0065124E" w:rsidRPr="00CD2579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4951C50C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65124E" w:rsidRPr="00CD2579" w:rsidRDefault="0065124E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H/uXX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CD257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65124E" w:rsidRPr="00CD257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65124E" w:rsidRPr="00CD2579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4951C50C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65124E" w:rsidRPr="00CD2579" w:rsidRDefault="0065124E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CD257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1DA08991" w:rsidR="0065124E" w:rsidRPr="00CD257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56444"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PMbGS6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65124E" w:rsidRPr="00CD257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1DA08991" w:rsidR="0065124E" w:rsidRPr="00CD257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56444" w:rsidRPr="00CD2579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EB4A" w14:textId="77777777" w:rsidR="00BD4889" w:rsidRDefault="00BD4889" w:rsidP="00F573F1">
      <w:r>
        <w:separator/>
      </w:r>
    </w:p>
  </w:endnote>
  <w:endnote w:type="continuationSeparator" w:id="0">
    <w:p w14:paraId="0D188782" w14:textId="77777777" w:rsidR="00BD4889" w:rsidRDefault="00BD4889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5B3282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2FCD" w14:textId="77777777" w:rsidR="00BD4889" w:rsidRDefault="00BD4889" w:rsidP="00F573F1">
      <w:r>
        <w:separator/>
      </w:r>
    </w:p>
  </w:footnote>
  <w:footnote w:type="continuationSeparator" w:id="0">
    <w:p w14:paraId="04B89798" w14:textId="77777777" w:rsidR="00BD4889" w:rsidRDefault="00BD4889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65124E" w:rsidRDefault="0065124E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8BF"/>
    <w:rsid w:val="00CC7C45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5F33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248F-7E4B-4056-B413-4FD64B30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8</cp:revision>
  <cp:lastPrinted>2019-08-27T11:23:00Z</cp:lastPrinted>
  <dcterms:created xsi:type="dcterms:W3CDTF">2020-06-30T09:09:00Z</dcterms:created>
  <dcterms:modified xsi:type="dcterms:W3CDTF">2020-07-31T10:16:00Z</dcterms:modified>
</cp:coreProperties>
</file>