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1B59" w14:textId="1DFAA72C" w:rsidR="009139AF" w:rsidRPr="009139AF" w:rsidRDefault="009139AF" w:rsidP="00FA67BA">
      <w:pPr>
        <w:spacing w:line="276" w:lineRule="auto"/>
        <w:rPr>
          <w:rFonts w:cs="Arial"/>
          <w:b/>
          <w:color w:val="007E79"/>
          <w:sz w:val="32"/>
          <w:szCs w:val="28"/>
        </w:rPr>
      </w:pPr>
      <w:r w:rsidRPr="00F615BD">
        <w:rPr>
          <w:noProof/>
        </w:rPr>
        <mc:AlternateContent>
          <mc:Choice Requires="wps">
            <w:drawing>
              <wp:anchor distT="45720" distB="45720" distL="114300" distR="114300" simplePos="0" relativeHeight="251669504" behindDoc="0" locked="0" layoutInCell="1" allowOverlap="1" wp14:anchorId="68A52E74" wp14:editId="0BBDBD55">
                <wp:simplePos x="0" y="0"/>
                <wp:positionH relativeFrom="margin">
                  <wp:posOffset>5181600</wp:posOffset>
                </wp:positionH>
                <wp:positionV relativeFrom="paragraph">
                  <wp:posOffset>-944245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093A89A6" w14:textId="77777777" w:rsidR="00127364" w:rsidRDefault="00127364" w:rsidP="00517111">
                            <w:pPr>
                              <w:spacing w:line="276" w:lineRule="auto"/>
                              <w:jc w:val="right"/>
                              <w:rPr>
                                <w:b/>
                                <w:color w:val="13576B"/>
                              </w:rPr>
                            </w:pPr>
                            <w:r w:rsidRPr="00517111">
                              <w:rPr>
                                <w:b/>
                                <w:color w:val="13576B"/>
                              </w:rPr>
                              <w:t>TISKOVÁ ZPRÁVA</w:t>
                            </w:r>
                            <w:r>
                              <w:rPr>
                                <w:b/>
                                <w:color w:val="13576B"/>
                              </w:rPr>
                              <w:t xml:space="preserve"> </w:t>
                            </w:r>
                          </w:p>
                          <w:p w14:paraId="25BF6333" w14:textId="1E6575B0" w:rsidR="00127364" w:rsidRPr="00517111" w:rsidRDefault="00127364" w:rsidP="00517111">
                            <w:pPr>
                              <w:spacing w:line="276" w:lineRule="auto"/>
                              <w:jc w:val="right"/>
                              <w:rPr>
                                <w:b/>
                                <w:color w:val="13576B"/>
                              </w:rPr>
                            </w:pPr>
                            <w:r>
                              <w:rPr>
                                <w:color w:val="BFBFBF" w:themeColor="background1" w:themeShade="BF"/>
                              </w:rPr>
                              <w:t>23</w:t>
                            </w:r>
                            <w:r w:rsidRPr="00517111">
                              <w:rPr>
                                <w:color w:val="BFBFBF" w:themeColor="background1" w:themeShade="BF"/>
                              </w:rPr>
                              <w:t xml:space="preserve">. </w:t>
                            </w:r>
                            <w:r>
                              <w:rPr>
                                <w:color w:val="BFBFBF" w:themeColor="background1" w:themeShade="BF"/>
                              </w:rPr>
                              <w:t>7</w:t>
                            </w:r>
                            <w:r w:rsidRPr="00517111">
                              <w:rPr>
                                <w:color w:val="BFBFBF" w:themeColor="background1" w:themeShade="BF"/>
                              </w:rPr>
                              <w:t>. 20</w:t>
                            </w:r>
                            <w:r>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52E74" id="_x0000_t202" coordsize="21600,21600" o:spt="202" path="m,l,21600r21600,l21600,xe">
                <v:stroke joinstyle="miter"/>
                <v:path gradientshapeok="t" o:connecttype="rect"/>
              </v:shapetype>
              <v:shape id="Textové pole 2" o:spid="_x0000_s1026" type="#_x0000_t202" style="position:absolute;left:0;text-align:left;margin-left:408pt;margin-top:-74.35pt;width:9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Pvf5AvgAAAADAEAAA8AAABkcnMvZG93bnJldi54bWxMj8tOwzAURPdI/IN1kdi1tiNo&#10;ojROVaG2LIESsXbj2yQifsh20/D3uCtYjmY0c6bazHokE/owWCOALxkQNK1Vg+kENJ/7RQEkRGmU&#10;HK1BAT8YYFPf31WyVPZqPnA6xo6kEhNKKaCP0ZWUhrZHLcPSOjTJO1uvZUzSd1R5eU3leqQZYyuq&#10;5WDSQi8dvvTYfh8vWoCL7pC/+rf37W4/sebr0GRDtxPi8WHeroFEnONfGG74CR3qxHSyF6MCGQUU&#10;fJW+RAEL/lTkQG4RxnkG5CQgz56B1hX9f6L+BQAA//8DAFBLAQItABQABgAIAAAAIQC2gziS/gAA&#10;AOEBAAATAAAAAAAAAAAAAAAAAAAAAABbQ29udGVudF9UeXBlc10ueG1sUEsBAi0AFAAGAAgAAAAh&#10;ADj9If/WAAAAlAEAAAsAAAAAAAAAAAAAAAAALwEAAF9yZWxzLy5yZWxzUEsBAi0AFAAGAAgAAAAh&#10;AKT20ZgTAgAA+gMAAA4AAAAAAAAAAAAAAAAALgIAAGRycy9lMm9Eb2MueG1sUEsBAi0AFAAGAAgA&#10;AAAhAPvf5AvgAAAADAEAAA8AAAAAAAAAAAAAAAAAbQQAAGRycy9kb3ducmV2LnhtbFBLBQYAAAAA&#10;BAAEAPMAAAB6BQAAAAA=&#10;" filled="f" stroked="f">
                <v:textbox style="mso-fit-shape-to-text:t">
                  <w:txbxContent>
                    <w:p w14:paraId="093A89A6" w14:textId="77777777" w:rsidR="00127364" w:rsidRDefault="00127364" w:rsidP="00517111">
                      <w:pPr>
                        <w:spacing w:line="276" w:lineRule="auto"/>
                        <w:jc w:val="right"/>
                        <w:rPr>
                          <w:b/>
                          <w:color w:val="13576B"/>
                        </w:rPr>
                      </w:pPr>
                      <w:r w:rsidRPr="00517111">
                        <w:rPr>
                          <w:b/>
                          <w:color w:val="13576B"/>
                        </w:rPr>
                        <w:t>TISKOVÁ ZPRÁVA</w:t>
                      </w:r>
                      <w:r>
                        <w:rPr>
                          <w:b/>
                          <w:color w:val="13576B"/>
                        </w:rPr>
                        <w:t xml:space="preserve"> </w:t>
                      </w:r>
                    </w:p>
                    <w:p w14:paraId="25BF6333" w14:textId="1E6575B0" w:rsidR="00127364" w:rsidRPr="00517111" w:rsidRDefault="00127364" w:rsidP="00517111">
                      <w:pPr>
                        <w:spacing w:line="276" w:lineRule="auto"/>
                        <w:jc w:val="right"/>
                        <w:rPr>
                          <w:b/>
                          <w:color w:val="13576B"/>
                        </w:rPr>
                      </w:pPr>
                      <w:r>
                        <w:rPr>
                          <w:color w:val="BFBFBF" w:themeColor="background1" w:themeShade="BF"/>
                        </w:rPr>
                        <w:t>23</w:t>
                      </w:r>
                      <w:r w:rsidRPr="00517111">
                        <w:rPr>
                          <w:color w:val="BFBFBF" w:themeColor="background1" w:themeShade="BF"/>
                        </w:rPr>
                        <w:t xml:space="preserve">. </w:t>
                      </w:r>
                      <w:r>
                        <w:rPr>
                          <w:color w:val="BFBFBF" w:themeColor="background1" w:themeShade="BF"/>
                        </w:rPr>
                        <w:t>7</w:t>
                      </w:r>
                      <w:r w:rsidRPr="00517111">
                        <w:rPr>
                          <w:color w:val="BFBFBF" w:themeColor="background1" w:themeShade="BF"/>
                        </w:rPr>
                        <w:t>. 20</w:t>
                      </w:r>
                      <w:r>
                        <w:rPr>
                          <w:color w:val="BFBFBF" w:themeColor="background1" w:themeShade="BF"/>
                        </w:rPr>
                        <w:t>20</w:t>
                      </w:r>
                    </w:p>
                  </w:txbxContent>
                </v:textbox>
                <w10:wrap anchorx="margin"/>
              </v:shape>
            </w:pict>
          </mc:Fallback>
        </mc:AlternateContent>
      </w:r>
      <w:r w:rsidRPr="00C74048">
        <w:rPr>
          <w:rFonts w:cs="Arial"/>
          <w:b/>
          <w:color w:val="007E79"/>
          <w:sz w:val="32"/>
          <w:szCs w:val="28"/>
        </w:rPr>
        <w:t>M</w:t>
      </w:r>
      <w:r w:rsidRPr="009139AF">
        <w:rPr>
          <w:rFonts w:cs="Arial"/>
          <w:b/>
          <w:color w:val="007E79"/>
          <w:sz w:val="32"/>
          <w:szCs w:val="28"/>
        </w:rPr>
        <w:t>AKROEKONOMICKÁ PROGNÓZA ČESKÉ BANKOVNÍ ASOCIACE</w:t>
      </w:r>
    </w:p>
    <w:p w14:paraId="486B6FB7" w14:textId="77777777" w:rsidR="00F32F3A" w:rsidRDefault="00F32F3A" w:rsidP="00FA67BA">
      <w:pPr>
        <w:spacing w:line="276" w:lineRule="auto"/>
        <w:rPr>
          <w:b/>
          <w:color w:val="008080"/>
          <w:sz w:val="22"/>
        </w:rPr>
      </w:pPr>
    </w:p>
    <w:p w14:paraId="4A6E52AD" w14:textId="4989F339" w:rsidR="009139AF" w:rsidRPr="003401BC" w:rsidRDefault="001A7786" w:rsidP="00FA67BA">
      <w:pPr>
        <w:spacing w:line="276" w:lineRule="auto"/>
      </w:pPr>
      <w:r>
        <w:rPr>
          <w:b/>
          <w:color w:val="008080"/>
          <w:sz w:val="22"/>
        </w:rPr>
        <w:t>Výhled na č</w:t>
      </w:r>
      <w:r w:rsidR="00115462">
        <w:rPr>
          <w:b/>
          <w:color w:val="008080"/>
          <w:sz w:val="22"/>
        </w:rPr>
        <w:t>eské hospodářství v </w:t>
      </w:r>
      <w:r>
        <w:rPr>
          <w:b/>
          <w:color w:val="008080"/>
          <w:sz w:val="22"/>
        </w:rPr>
        <w:t>„</w:t>
      </w:r>
      <w:r w:rsidR="00115462">
        <w:rPr>
          <w:b/>
          <w:color w:val="008080"/>
          <w:sz w:val="22"/>
        </w:rPr>
        <w:t xml:space="preserve">době </w:t>
      </w:r>
      <w:r>
        <w:rPr>
          <w:b/>
          <w:i/>
          <w:iCs/>
          <w:color w:val="008080"/>
          <w:sz w:val="22"/>
        </w:rPr>
        <w:t>po</w:t>
      </w:r>
      <w:r w:rsidR="006952F0" w:rsidRPr="006952F0">
        <w:rPr>
          <w:b/>
          <w:i/>
          <w:iCs/>
          <w:color w:val="008080"/>
          <w:sz w:val="22"/>
        </w:rPr>
        <w:t>koronavir</w:t>
      </w:r>
      <w:r w:rsidR="00115462" w:rsidRPr="006952F0">
        <w:rPr>
          <w:b/>
          <w:i/>
          <w:iCs/>
          <w:color w:val="008080"/>
          <w:sz w:val="22"/>
        </w:rPr>
        <w:t>ové</w:t>
      </w:r>
      <w:r>
        <w:rPr>
          <w:b/>
          <w:i/>
          <w:iCs/>
          <w:color w:val="008080"/>
          <w:sz w:val="22"/>
        </w:rPr>
        <w:t>“</w:t>
      </w:r>
      <w:r w:rsidR="00504D52">
        <w:rPr>
          <w:b/>
          <w:i/>
          <w:iCs/>
          <w:color w:val="008080"/>
          <w:sz w:val="22"/>
        </w:rPr>
        <w:t xml:space="preserve"> (druhé pol. roku 2020 a roky 2021</w:t>
      </w:r>
      <w:r w:rsidR="00FE0108">
        <w:rPr>
          <w:b/>
          <w:i/>
          <w:iCs/>
          <w:color w:val="008080"/>
          <w:sz w:val="22"/>
        </w:rPr>
        <w:t>,</w:t>
      </w:r>
      <w:r w:rsidR="00504D52">
        <w:rPr>
          <w:b/>
          <w:i/>
          <w:iCs/>
          <w:color w:val="008080"/>
          <w:sz w:val="22"/>
        </w:rPr>
        <w:t xml:space="preserve"> 2022)</w:t>
      </w:r>
    </w:p>
    <w:p w14:paraId="6C97E5AB" w14:textId="77777777" w:rsidR="00F32F3A" w:rsidRPr="003401BC" w:rsidRDefault="00F32F3A" w:rsidP="00FA67BA">
      <w:pPr>
        <w:spacing w:line="276" w:lineRule="auto"/>
        <w:rPr>
          <w:rFonts w:cs="Arial"/>
          <w:b/>
          <w:color w:val="007E79"/>
          <w:szCs w:val="22"/>
        </w:rPr>
      </w:pPr>
    </w:p>
    <w:p w14:paraId="16637E68" w14:textId="30BF4003" w:rsidR="006952F0" w:rsidRDefault="009139AF" w:rsidP="00FA67BA">
      <w:pPr>
        <w:spacing w:line="276" w:lineRule="auto"/>
        <w:rPr>
          <w:rFonts w:cs="Arial"/>
          <w:b/>
          <w:color w:val="007E79"/>
          <w:szCs w:val="22"/>
        </w:rPr>
      </w:pPr>
      <w:r w:rsidRPr="003401BC">
        <w:rPr>
          <w:rFonts w:cs="Arial"/>
          <w:b/>
          <w:color w:val="007E79"/>
          <w:szCs w:val="22"/>
        </w:rPr>
        <w:t xml:space="preserve">Praha, </w:t>
      </w:r>
      <w:r w:rsidR="00F32F3A" w:rsidRPr="003401BC">
        <w:rPr>
          <w:rFonts w:cs="Arial"/>
          <w:b/>
          <w:color w:val="007E79"/>
          <w:szCs w:val="22"/>
        </w:rPr>
        <w:t>2</w:t>
      </w:r>
      <w:r w:rsidR="007F6300" w:rsidRPr="003401BC">
        <w:rPr>
          <w:rFonts w:cs="Arial"/>
          <w:b/>
          <w:color w:val="007E79"/>
          <w:szCs w:val="22"/>
        </w:rPr>
        <w:t>3</w:t>
      </w:r>
      <w:r w:rsidRPr="003401BC">
        <w:rPr>
          <w:rFonts w:cs="Arial"/>
          <w:b/>
          <w:color w:val="007E79"/>
          <w:szCs w:val="22"/>
        </w:rPr>
        <w:t xml:space="preserve">. </w:t>
      </w:r>
      <w:r w:rsidR="00115462">
        <w:rPr>
          <w:rFonts w:cs="Arial"/>
          <w:b/>
          <w:color w:val="007E79"/>
          <w:szCs w:val="22"/>
        </w:rPr>
        <w:t>července</w:t>
      </w:r>
      <w:r w:rsidRPr="003401BC">
        <w:rPr>
          <w:rFonts w:cs="Arial"/>
          <w:b/>
          <w:color w:val="007E79"/>
          <w:szCs w:val="22"/>
        </w:rPr>
        <w:t xml:space="preserve"> 20</w:t>
      </w:r>
      <w:r w:rsidR="007F6300" w:rsidRPr="003401BC">
        <w:rPr>
          <w:rFonts w:cs="Arial"/>
          <w:b/>
          <w:color w:val="007E79"/>
          <w:szCs w:val="22"/>
        </w:rPr>
        <w:t>20</w:t>
      </w:r>
      <w:r w:rsidRPr="003401BC">
        <w:rPr>
          <w:rFonts w:cs="Arial"/>
          <w:b/>
          <w:color w:val="007E79"/>
          <w:szCs w:val="22"/>
        </w:rPr>
        <w:t xml:space="preserve"> – </w:t>
      </w:r>
      <w:r w:rsidR="00504D52">
        <w:rPr>
          <w:rFonts w:cs="Arial"/>
          <w:b/>
          <w:color w:val="007E79"/>
          <w:szCs w:val="22"/>
        </w:rPr>
        <w:t xml:space="preserve">Makroekonomické prognózy všech institucí si od začátku roku </w:t>
      </w:r>
      <w:r w:rsidR="0039044E">
        <w:rPr>
          <w:rFonts w:cs="Arial"/>
          <w:b/>
          <w:color w:val="007E79"/>
          <w:szCs w:val="22"/>
        </w:rPr>
        <w:t xml:space="preserve">prošly </w:t>
      </w:r>
      <w:r w:rsidR="00C71D3C">
        <w:rPr>
          <w:rFonts w:cs="Arial"/>
          <w:b/>
          <w:color w:val="007E79"/>
          <w:szCs w:val="22"/>
        </w:rPr>
        <w:t xml:space="preserve">vzhledem k nástupu pandemie koronaviru </w:t>
      </w:r>
      <w:r w:rsidR="00504D52">
        <w:rPr>
          <w:rFonts w:cs="Arial"/>
          <w:b/>
          <w:color w:val="007E79"/>
          <w:szCs w:val="22"/>
        </w:rPr>
        <w:t>řadou obratů. V dubnu ekonomičtí experti bank</w:t>
      </w:r>
      <w:r w:rsidR="00FE0108">
        <w:rPr>
          <w:rFonts w:cs="Arial"/>
          <w:b/>
          <w:color w:val="007E79"/>
          <w:szCs w:val="22"/>
        </w:rPr>
        <w:t xml:space="preserve">, kteří připravují prognózu ČBA, </w:t>
      </w:r>
      <w:r w:rsidR="00C71D3C">
        <w:rPr>
          <w:rFonts w:cs="Arial"/>
          <w:b/>
          <w:color w:val="007E79"/>
          <w:szCs w:val="22"/>
        </w:rPr>
        <w:t xml:space="preserve">z důvodu nedostatku relevantních dat odmítli </w:t>
      </w:r>
      <w:r w:rsidR="00504D52">
        <w:rPr>
          <w:rFonts w:cs="Arial"/>
          <w:b/>
          <w:color w:val="007E79"/>
          <w:szCs w:val="22"/>
        </w:rPr>
        <w:t xml:space="preserve">o dalším vývoji </w:t>
      </w:r>
      <w:r w:rsidR="00C71D3C">
        <w:rPr>
          <w:rFonts w:cs="Arial"/>
          <w:b/>
          <w:color w:val="007E79"/>
          <w:szCs w:val="22"/>
        </w:rPr>
        <w:t xml:space="preserve">konkrétně </w:t>
      </w:r>
      <w:r w:rsidR="00504D52">
        <w:rPr>
          <w:rFonts w:cs="Arial"/>
          <w:b/>
          <w:color w:val="007E79"/>
          <w:szCs w:val="22"/>
        </w:rPr>
        <w:t xml:space="preserve">spekulovat a shodli se na tom, že bude odviset od struktury a rychlosti reakčních opatření vlády. V současnosti se </w:t>
      </w:r>
      <w:r w:rsidR="00C71D3C">
        <w:rPr>
          <w:rFonts w:cs="Arial"/>
          <w:b/>
          <w:color w:val="007E79"/>
          <w:szCs w:val="22"/>
        </w:rPr>
        <w:t xml:space="preserve">podle nich </w:t>
      </w:r>
      <w:r w:rsidR="00FB504D">
        <w:rPr>
          <w:rFonts w:cs="Arial"/>
          <w:b/>
          <w:color w:val="007E79"/>
          <w:szCs w:val="22"/>
        </w:rPr>
        <w:t xml:space="preserve">hlavní problém přesunul </w:t>
      </w:r>
      <w:r w:rsidR="001A7786">
        <w:rPr>
          <w:rFonts w:cs="Arial"/>
          <w:b/>
          <w:color w:val="007E79"/>
          <w:szCs w:val="22"/>
        </w:rPr>
        <w:t xml:space="preserve">zejména </w:t>
      </w:r>
      <w:r w:rsidR="00FB504D">
        <w:rPr>
          <w:rFonts w:cs="Arial"/>
          <w:b/>
          <w:color w:val="007E79"/>
          <w:szCs w:val="22"/>
        </w:rPr>
        <w:t xml:space="preserve">na stranu </w:t>
      </w:r>
      <w:r w:rsidR="00864AC0">
        <w:rPr>
          <w:rFonts w:cs="Arial"/>
          <w:b/>
          <w:color w:val="007E79"/>
          <w:szCs w:val="22"/>
        </w:rPr>
        <w:t xml:space="preserve">zahraniční </w:t>
      </w:r>
      <w:r w:rsidR="00FB504D">
        <w:rPr>
          <w:rFonts w:cs="Arial"/>
          <w:b/>
          <w:color w:val="007E79"/>
          <w:szCs w:val="22"/>
        </w:rPr>
        <w:t>poptávky</w:t>
      </w:r>
      <w:r w:rsidR="00CD4F2C">
        <w:rPr>
          <w:rFonts w:cs="Arial"/>
          <w:b/>
          <w:color w:val="007E79"/>
          <w:szCs w:val="22"/>
        </w:rPr>
        <w:t>, zejména z Německa,</w:t>
      </w:r>
      <w:r w:rsidR="00864AC0">
        <w:rPr>
          <w:rFonts w:cs="Arial"/>
          <w:b/>
          <w:color w:val="007E79"/>
          <w:szCs w:val="22"/>
        </w:rPr>
        <w:t xml:space="preserve"> a </w:t>
      </w:r>
      <w:r w:rsidR="00FC232B">
        <w:rPr>
          <w:rFonts w:cs="Arial"/>
          <w:b/>
          <w:color w:val="007E79"/>
          <w:szCs w:val="22"/>
        </w:rPr>
        <w:t xml:space="preserve">v </w:t>
      </w:r>
      <w:r w:rsidR="00864AC0">
        <w:rPr>
          <w:rFonts w:cs="Arial"/>
          <w:b/>
          <w:color w:val="007E79"/>
          <w:szCs w:val="22"/>
        </w:rPr>
        <w:t>restartování důvěry v ekonomiku</w:t>
      </w:r>
      <w:r w:rsidR="00FB504D">
        <w:rPr>
          <w:rFonts w:cs="Arial"/>
          <w:b/>
          <w:color w:val="007E79"/>
          <w:szCs w:val="22"/>
        </w:rPr>
        <w:t xml:space="preserve">. </w:t>
      </w:r>
      <w:r w:rsidR="0036442C">
        <w:rPr>
          <w:rFonts w:cs="Arial"/>
          <w:b/>
          <w:color w:val="007E79"/>
          <w:szCs w:val="22"/>
        </w:rPr>
        <w:t xml:space="preserve">Shoda prognostiků panuje na tom, že nejvýraznější pokles HDP nastal ve druhém čtvrtletí, a máme jej tedy za sebou, a že s rokem 2021 můžeme očekávat výraznější oživení. Na úroveň roku 2019 se však hospodářská produkce vrátí </w:t>
      </w:r>
      <w:r w:rsidR="00FB504D">
        <w:rPr>
          <w:rFonts w:cs="Arial"/>
          <w:b/>
          <w:color w:val="007E79"/>
          <w:szCs w:val="22"/>
        </w:rPr>
        <w:t>nejdří</w:t>
      </w:r>
      <w:r w:rsidR="0036442C">
        <w:rPr>
          <w:rFonts w:cs="Arial"/>
          <w:b/>
          <w:color w:val="007E79"/>
          <w:szCs w:val="22"/>
        </w:rPr>
        <w:t xml:space="preserve">ve v průběhu roku 2022. </w:t>
      </w:r>
    </w:p>
    <w:p w14:paraId="3495E346" w14:textId="77777777" w:rsidR="006952F0" w:rsidRDefault="006952F0" w:rsidP="00FA67BA">
      <w:pPr>
        <w:spacing w:line="276" w:lineRule="auto"/>
        <w:rPr>
          <w:rFonts w:cs="Arial"/>
          <w:b/>
          <w:color w:val="007E79"/>
          <w:szCs w:val="22"/>
        </w:rPr>
      </w:pPr>
    </w:p>
    <w:p w14:paraId="2D92A1C5" w14:textId="240EC269" w:rsidR="0008565C" w:rsidRDefault="00AF4DF3" w:rsidP="00FA67BA">
      <w:pPr>
        <w:spacing w:line="276" w:lineRule="auto"/>
      </w:pPr>
      <w:r>
        <w:t>Ještě před půl rokem panovala v</w:t>
      </w:r>
      <w:r w:rsidR="001A7786">
        <w:t> ekonomicko-</w:t>
      </w:r>
      <w:r>
        <w:t>analytické obci shoda, že během letošního roku česk</w:t>
      </w:r>
      <w:r w:rsidR="00030A4E">
        <w:t>ý hrubý domácí produkt (HDP) vzroste o</w:t>
      </w:r>
      <w:r>
        <w:t xml:space="preserve"> 2</w:t>
      </w:r>
      <w:r w:rsidR="001A7786">
        <w:t xml:space="preserve"> </w:t>
      </w:r>
      <w:r>
        <w:t xml:space="preserve">% </w:t>
      </w:r>
      <w:r w:rsidR="00F0467A">
        <w:t xml:space="preserve">(Makroekonomická prognóza ČBA z ledna 2020 </w:t>
      </w:r>
      <w:hyperlink r:id="rId8" w:history="1">
        <w:r w:rsidR="00F0467A" w:rsidRPr="00F0467A">
          <w:rPr>
            <w:rStyle w:val="Hypertextovodkaz"/>
          </w:rPr>
          <w:t>zde</w:t>
        </w:r>
      </w:hyperlink>
      <w:r w:rsidR="00F0467A">
        <w:t>)</w:t>
      </w:r>
      <w:r>
        <w:t xml:space="preserve">. V průběhu prvního čtvrtletí 2020 se </w:t>
      </w:r>
      <w:r w:rsidR="0095568B">
        <w:t xml:space="preserve">však </w:t>
      </w:r>
      <w:r>
        <w:t xml:space="preserve">s přílivem čím dál znepokojivějších zpráv z hlavního města čínské provincie Chu-pej začal </w:t>
      </w:r>
      <w:r w:rsidR="0095568B">
        <w:t>prudce měnit náhled na bilanci vnější</w:t>
      </w:r>
      <w:r w:rsidR="006520AA">
        <w:t>ch</w:t>
      </w:r>
      <w:r w:rsidR="0095568B">
        <w:t xml:space="preserve"> rizik</w:t>
      </w:r>
      <w:r w:rsidR="009E0472">
        <w:t>, kterým do té doby dominovaly především brexit a obchodní války</w:t>
      </w:r>
      <w:r w:rsidR="001A7786">
        <w:t>.</w:t>
      </w:r>
      <w:r w:rsidR="00F0467A">
        <w:t xml:space="preserve"> V březnu už bylo zcela jasné, že světovou ekonomiku zasáhl šok nebývalých rozměrů v podobě pandemie koronaviru. </w:t>
      </w:r>
    </w:p>
    <w:p w14:paraId="69DAC77F" w14:textId="77777777" w:rsidR="0008565C" w:rsidRDefault="0008565C" w:rsidP="00FA67BA">
      <w:pPr>
        <w:spacing w:line="276" w:lineRule="auto"/>
      </w:pPr>
    </w:p>
    <w:p w14:paraId="7F98D9AE" w14:textId="2369EB42" w:rsidR="00F0467A" w:rsidRDefault="0095568B" w:rsidP="00FA67BA">
      <w:pPr>
        <w:spacing w:line="276" w:lineRule="auto"/>
      </w:pPr>
      <w:r>
        <w:t xml:space="preserve">Vlády na narůstající zdravotní nebezpečí začaly nekoordinovaně reagovat uzavíráním svých ekonomik, v důsledku čehož došlo ke zbrzdění mezinárodního obchodu, </w:t>
      </w:r>
      <w:r w:rsidR="004672E4">
        <w:t xml:space="preserve">k </w:t>
      </w:r>
      <w:r>
        <w:t xml:space="preserve">bezprecedentnímu propadu hospodářského růstu a </w:t>
      </w:r>
      <w:r w:rsidR="001018CB" w:rsidRPr="00FA67BA">
        <w:t xml:space="preserve">k </w:t>
      </w:r>
      <w:r w:rsidRPr="00277774">
        <w:t>tlakům na nárůst nezaměstnanosti</w:t>
      </w:r>
      <w:r>
        <w:t xml:space="preserve">. </w:t>
      </w:r>
      <w:r w:rsidR="0008565C">
        <w:t>Aby zmírnily ekonomické dopady</w:t>
      </w:r>
      <w:r w:rsidR="00807E24">
        <w:t>,</w:t>
      </w:r>
      <w:r w:rsidR="0008565C">
        <w:t xml:space="preserve"> přijaly státy řadu </w:t>
      </w:r>
      <w:r>
        <w:t>podpůrných opatření</w:t>
      </w:r>
      <w:r w:rsidR="0008565C">
        <w:t xml:space="preserve">. Právě </w:t>
      </w:r>
      <w:r w:rsidR="0008565C" w:rsidRPr="00FA67BA">
        <w:t>konstrukci a rychlost opatření státu v oblasti hospodářské politiky</w:t>
      </w:r>
      <w:r w:rsidR="005242EE">
        <w:t xml:space="preserve"> označili hlavní ekonomové bank zastoupení v prognostickém panelu ČBA v dubnové „neprognóze“ za hlavní faktor</w:t>
      </w:r>
      <w:r w:rsidR="00D92926">
        <w:t xml:space="preserve"> </w:t>
      </w:r>
      <w:r w:rsidR="005242EE">
        <w:t xml:space="preserve">určující budoucí vývoj české ekonomiky (Makroekonomická „neprognóza“ ČBA </w:t>
      </w:r>
      <w:hyperlink r:id="rId9" w:history="1">
        <w:r w:rsidR="005242EE" w:rsidRPr="005242EE">
          <w:rPr>
            <w:rStyle w:val="Hypertextovodkaz"/>
          </w:rPr>
          <w:t>zde</w:t>
        </w:r>
      </w:hyperlink>
      <w:r w:rsidR="005242EE">
        <w:t>).</w:t>
      </w:r>
      <w:r w:rsidR="005242EE" w:rsidRPr="005242EE">
        <w:t xml:space="preserve"> </w:t>
      </w:r>
      <w:r w:rsidR="005242EE">
        <w:t xml:space="preserve">Nicméně, jejich účinnost bude možné vyhodnotit a porovnat teprve </w:t>
      </w:r>
      <w:r w:rsidR="00807E24">
        <w:t xml:space="preserve">v průběhu druhého pololetí letošního roku a </w:t>
      </w:r>
      <w:r w:rsidR="00625533">
        <w:t xml:space="preserve">zejména </w:t>
      </w:r>
      <w:r w:rsidR="00807E24">
        <w:t xml:space="preserve">v roce příštím a možná i přespříštím. </w:t>
      </w:r>
    </w:p>
    <w:p w14:paraId="18442A18" w14:textId="77777777" w:rsidR="00277774" w:rsidRDefault="00277774" w:rsidP="00FA67BA">
      <w:pPr>
        <w:spacing w:line="276" w:lineRule="auto"/>
      </w:pPr>
    </w:p>
    <w:p w14:paraId="62FFEDA0" w14:textId="05635491" w:rsidR="00AF4DF3" w:rsidRDefault="00625533" w:rsidP="00FA67BA">
      <w:pPr>
        <w:spacing w:line="276" w:lineRule="auto"/>
      </w:pPr>
      <w:r>
        <w:t xml:space="preserve">Nyní </w:t>
      </w:r>
      <w:r w:rsidR="00700BFA">
        <w:t>se zdá, že</w:t>
      </w:r>
      <w:r w:rsidR="00700BFA" w:rsidRPr="00277774">
        <w:t xml:space="preserve"> js</w:t>
      </w:r>
      <w:r w:rsidR="00807E24" w:rsidRPr="00FA67BA">
        <w:t xml:space="preserve">me </w:t>
      </w:r>
      <w:r w:rsidRPr="00FA67BA">
        <w:t>se již dotkli pomyslného dna hospodářského poklesu</w:t>
      </w:r>
      <w:r w:rsidR="007C64E9">
        <w:t>.</w:t>
      </w:r>
      <w:r w:rsidR="00875737">
        <w:t xml:space="preserve"> Nastartování a budoucí vývoj ekonomiky jsou v tuto chvíli odvislé zejména od vývoje zahraniční poptávky a restartování důvěry v ekonomiku.  </w:t>
      </w:r>
    </w:p>
    <w:p w14:paraId="448FE859" w14:textId="77777777" w:rsidR="007C64E9" w:rsidRPr="004672E4" w:rsidRDefault="007C64E9" w:rsidP="00FA67BA">
      <w:pPr>
        <w:spacing w:line="276" w:lineRule="auto"/>
      </w:pPr>
    </w:p>
    <w:p w14:paraId="05A5A0D1" w14:textId="46AEC46B" w:rsidR="005044E1" w:rsidRPr="004672E4" w:rsidRDefault="004B74EC" w:rsidP="00C71D3C">
      <w:pPr>
        <w:spacing w:line="276" w:lineRule="auto"/>
      </w:pPr>
      <w:r>
        <w:rPr>
          <w:noProof/>
        </w:rPr>
        <mc:AlternateContent>
          <mc:Choice Requires="wps">
            <w:drawing>
              <wp:anchor distT="45720" distB="45720" distL="114300" distR="114300" simplePos="0" relativeHeight="251693056" behindDoc="0" locked="0" layoutInCell="1" allowOverlap="1" wp14:anchorId="1B7C7610" wp14:editId="75071C2F">
                <wp:simplePos x="0" y="0"/>
                <wp:positionH relativeFrom="margin">
                  <wp:align>right</wp:align>
                </wp:positionH>
                <wp:positionV relativeFrom="paragraph">
                  <wp:posOffset>1178560</wp:posOffset>
                </wp:positionV>
                <wp:extent cx="6464300" cy="1404620"/>
                <wp:effectExtent l="0" t="0" r="12700" b="2476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7EA72EF1" w14:textId="7DA96B8D" w:rsidR="00127364" w:rsidRDefault="00127364" w:rsidP="00C847EC">
                            <w:pPr>
                              <w:spacing w:line="276" w:lineRule="auto"/>
                              <w:rPr>
                                <w:color w:val="FF0000"/>
                              </w:rPr>
                            </w:pPr>
                            <w:r>
                              <w:rPr>
                                <w:rFonts w:cs="Arial"/>
                                <w:b/>
                                <w:bCs/>
                                <w:color w:val="000000"/>
                                <w:szCs w:val="18"/>
                                <w:shd w:val="clear" w:color="auto" w:fill="FFFFFF"/>
                              </w:rPr>
                              <w:t>Helena Horská</w:t>
                            </w:r>
                            <w:r w:rsidRPr="00FA67BA">
                              <w:rPr>
                                <w:rFonts w:cs="Arial"/>
                                <w:b/>
                                <w:bCs/>
                                <w:color w:val="000000"/>
                                <w:szCs w:val="18"/>
                                <w:shd w:val="clear" w:color="auto" w:fill="FFFFFF"/>
                              </w:rPr>
                              <w:t>, hlavní ekonomka Raiffeisenbank:</w:t>
                            </w:r>
                          </w:p>
                          <w:p w14:paraId="10F09F9E" w14:textId="6168E569" w:rsidR="00127364" w:rsidRPr="00FA67BA" w:rsidRDefault="00127364" w:rsidP="00C847EC">
                            <w:pPr>
                              <w:rPr>
                                <w:i/>
                                <w:iCs/>
                              </w:rPr>
                            </w:pPr>
                            <w:r w:rsidRPr="00FA67BA">
                              <w:rPr>
                                <w:i/>
                                <w:iCs/>
                              </w:rPr>
                              <w:t xml:space="preserve">„Restart ekonomiky </w:t>
                            </w:r>
                            <w:r w:rsidRPr="00FA67BA">
                              <w:rPr>
                                <w:rFonts w:eastAsiaTheme="minorHAnsi" w:cs="Arial"/>
                                <w:i/>
                                <w:iCs/>
                                <w:szCs w:val="18"/>
                                <w:lang w:eastAsia="en-US"/>
                              </w:rPr>
                              <w:t xml:space="preserve">se bude odvíjet od </w:t>
                            </w:r>
                            <w:r w:rsidRPr="00FA67BA">
                              <w:rPr>
                                <w:i/>
                                <w:iCs/>
                              </w:rPr>
                              <w:t>obnovení důvěry firem i domácností. Stále velkým rizikem je slabá zahraniční poptávka. Velké obavy z dalšího vývoje panují především v automobilovém průmyslu, který čelí nejen propadu poptávky, ale i zpřísňujícím se státním regulacím. Český export čeká pozvolné a zároveň křehké oživení. Dle průzkumu Raiffeisenbank a Asociace Exportérů, více než tři čtvrtiny dotázaných exportérů (77 %) očekává do konce letošního roku pokles zakázek. Většina z nich počítá dokonce s dvouciferným propadem objednávek ze zahraničí. Jen 23 % věří naopak v růst.“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C7610" id="_x0000_s1027" type="#_x0000_t202" style="position:absolute;left:0;text-align:left;margin-left:457.8pt;margin-top:92.8pt;width:509pt;height:110.6pt;z-index:251693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TbLwIAAFEEAAAOAAAAZHJzL2Uyb0RvYy54bWysVNuO0zAQfUfiHyy/06QlLbtR09XSpQhp&#10;uUi7fIDrOI2F7TG226T8Ed/BjzF2siUCnhB5sOzM+OTMOTNZ3/RakZNwXoKp6HyWUyIMh1qaQ0U/&#10;P+5eXFHiAzM1U2BERc/C05vN82frzpZiAS2oWjiCIMaXna1oG4Its8zzVmjmZ2CFwWADTrOAR3fI&#10;asc6RNcqW+T5KuvA1dYBF97j27shSDcJv2kEDx+bxotAVEWRW0irS+s+rtlmzcqDY7aVfKTB/oGF&#10;ZtLgRy9QdywwcnTyDygtuQMPTZhx0Bk0jeQi1YDVzPPfqnlomRWpFhTH24tM/v/B8g+nT47IGr2j&#10;xDCNFj2KPsDpx3diQQmyiBJ11peY+WAxN/SvoY/psVxv74F/8cTAtmXmIG6dg64VrEaK83gzm1wd&#10;cHwE2XfvocZvsWOABNQ3TkdAVIQgOlp1vtiDfAjHl6tiVbzMMcQxNi/yYrVIBmasfLpunQ9vBWgS&#10;NxV16H+CZ6d7HyIdVj6lJPqgZL2TSqWDO+y3ypETw17ZpSdVgFVO05QhXUWvl4vloMA05qcQeXr+&#10;BqFlwKZXUlf06pLEyqjbG1OnlgxMqmGPlJUZhYzaDSqGft+Pto3+7KE+o7IOhh7HmcRNC+4bJR32&#10;d0X91yNzghL1zqA71/OiiAORDsXyFUpJ3DSyn0aY4QhV0UDJsN2GNERDD9yiizuZ9I12D0xGyti3&#10;SfZxxuJgTM8p69efYPMTAAD//wMAUEsDBBQABgAIAAAAIQCpylRZ3AAAAAkBAAAPAAAAZHJzL2Rv&#10;d25yZXYueG1sTI/BTsMwEETvSPyDtUhcKmoXSBSFOBVU6olTQ7m78ZJExOtgu23692xPcNyZ0eyb&#10;aj27UZwwxMGThtVSgUBqvR2o07D/2D4UIGIyZM3oCTVcMMK6vr2pTGn9mXZ4alInuIRiaTT0KU2l&#10;lLHt0Zm49BMSe18+OJP4DJ20wZy53I3yUalcOjMQf+jNhJse2+/m6DTkP83T4v3TLmh32b6F1mV2&#10;s8+0vr+bX19AJJzTXxiu+IwONTMd/JFsFKMGHpJYLbIcxNVWq4Klg4ZnlRcg60r+X1D/AgAA//8D&#10;AFBLAQItABQABgAIAAAAIQC2gziS/gAAAOEBAAATAAAAAAAAAAAAAAAAAAAAAABbQ29udGVudF9U&#10;eXBlc10ueG1sUEsBAi0AFAAGAAgAAAAhADj9If/WAAAAlAEAAAsAAAAAAAAAAAAAAAAALwEAAF9y&#10;ZWxzLy5yZWxzUEsBAi0AFAAGAAgAAAAhACyWxNsvAgAAUQQAAA4AAAAAAAAAAAAAAAAALgIAAGRy&#10;cy9lMm9Eb2MueG1sUEsBAi0AFAAGAAgAAAAhAKnKVFncAAAACQEAAA8AAAAAAAAAAAAAAAAAiQQA&#10;AGRycy9kb3ducmV2LnhtbFBLBQYAAAAABAAEAPMAAACSBQAAAAA=&#10;">
                <v:textbox style="mso-fit-shape-to-text:t">
                  <w:txbxContent>
                    <w:p w14:paraId="7EA72EF1" w14:textId="7DA96B8D" w:rsidR="00127364" w:rsidRDefault="00127364" w:rsidP="00C847EC">
                      <w:pPr>
                        <w:spacing w:line="276" w:lineRule="auto"/>
                        <w:rPr>
                          <w:color w:val="FF0000"/>
                        </w:rPr>
                      </w:pPr>
                      <w:r>
                        <w:rPr>
                          <w:rFonts w:cs="Arial"/>
                          <w:b/>
                          <w:bCs/>
                          <w:color w:val="000000"/>
                          <w:szCs w:val="18"/>
                          <w:shd w:val="clear" w:color="auto" w:fill="FFFFFF"/>
                        </w:rPr>
                        <w:t>Helena Horská</w:t>
                      </w:r>
                      <w:r w:rsidRPr="00FA67BA">
                        <w:rPr>
                          <w:rFonts w:cs="Arial"/>
                          <w:b/>
                          <w:bCs/>
                          <w:color w:val="000000"/>
                          <w:szCs w:val="18"/>
                          <w:shd w:val="clear" w:color="auto" w:fill="FFFFFF"/>
                        </w:rPr>
                        <w:t>, hlavní ekonomka Raiffeisenbank:</w:t>
                      </w:r>
                    </w:p>
                    <w:p w14:paraId="10F09F9E" w14:textId="6168E569" w:rsidR="00127364" w:rsidRPr="00FA67BA" w:rsidRDefault="00127364" w:rsidP="00C847EC">
                      <w:pPr>
                        <w:rPr>
                          <w:i/>
                          <w:iCs/>
                        </w:rPr>
                      </w:pPr>
                      <w:r w:rsidRPr="00FA67BA">
                        <w:rPr>
                          <w:i/>
                          <w:iCs/>
                        </w:rPr>
                        <w:t xml:space="preserve">„Restart ekonomiky </w:t>
                      </w:r>
                      <w:r w:rsidRPr="00FA67BA">
                        <w:rPr>
                          <w:rFonts w:eastAsiaTheme="minorHAnsi" w:cs="Arial"/>
                          <w:i/>
                          <w:iCs/>
                          <w:szCs w:val="18"/>
                          <w:lang w:eastAsia="en-US"/>
                        </w:rPr>
                        <w:t xml:space="preserve">se bude odvíjet od </w:t>
                      </w:r>
                      <w:r w:rsidRPr="00FA67BA">
                        <w:rPr>
                          <w:i/>
                          <w:iCs/>
                        </w:rPr>
                        <w:t>obnovení důvěry firem i domácností. Stále velkým rizikem je slabá zahraniční poptávka. Velké obavy z dalšího vývoje panují především v automobilovém průmyslu, který čelí nejen propadu poptávky, ale i zpřísňujícím se státním regulacím. Český export čeká pozvolné a zároveň křehké oživení. Dle průzkumu Raiffeisenbank a Asociace Exportérů, více než tři čtvrtiny dotázaných exportérů (77 %) očekává do konce letošního roku pokles zakázek. Většina z nich počítá dokonce s dvouciferným propadem objednávek ze zahraničí. Jen 23 % věří naopak v růst.“</w:t>
                      </w:r>
                    </w:p>
                  </w:txbxContent>
                </v:textbox>
                <w10:wrap type="square" anchorx="margin"/>
              </v:shape>
            </w:pict>
          </mc:Fallback>
        </mc:AlternateContent>
      </w:r>
      <w:r w:rsidR="007C64E9" w:rsidRPr="004672E4">
        <w:t>Hlavní ekonomové bank vesměs očekávají, že od třetího kvartálu letošního roku začne česk</w:t>
      </w:r>
      <w:r w:rsidR="005044E1" w:rsidRPr="004672E4">
        <w:t>é hospodářství</w:t>
      </w:r>
      <w:r w:rsidR="007C64E9" w:rsidRPr="004672E4">
        <w:t xml:space="preserve"> oživovat</w:t>
      </w:r>
      <w:r w:rsidR="005044E1" w:rsidRPr="004672E4">
        <w:t xml:space="preserve">, liší se však v náhledu na rychlost a sílu oživení, což se promítá do prognózy hloubky letošního hospodářského propadu. Výsledný konsensus </w:t>
      </w:r>
      <w:r w:rsidR="00277774" w:rsidRPr="00FA67BA">
        <w:t xml:space="preserve">je, že </w:t>
      </w:r>
      <w:r w:rsidR="005044E1" w:rsidRPr="004672E4">
        <w:t>česk</w:t>
      </w:r>
      <w:r w:rsidR="00277774" w:rsidRPr="00FA67BA">
        <w:t>ý</w:t>
      </w:r>
      <w:r w:rsidR="005044E1" w:rsidRPr="004672E4">
        <w:t xml:space="preserve"> HDP v roce 2020</w:t>
      </w:r>
      <w:r w:rsidR="00277774" w:rsidRPr="00FA67BA">
        <w:t xml:space="preserve"> poklesne o 7,5 %, přitom jde </w:t>
      </w:r>
      <w:r w:rsidR="00277774" w:rsidRPr="004672E4">
        <w:t>o</w:t>
      </w:r>
      <w:r w:rsidR="005044E1" w:rsidRPr="004672E4">
        <w:t xml:space="preserve"> medián mezi </w:t>
      </w:r>
      <w:r w:rsidR="00875737" w:rsidRPr="004672E4">
        <w:t xml:space="preserve">všemi </w:t>
      </w:r>
      <w:r w:rsidR="001E6147" w:rsidRPr="004672E4">
        <w:t xml:space="preserve">odhady </w:t>
      </w:r>
      <w:r w:rsidR="00875737" w:rsidRPr="004672E4">
        <w:t xml:space="preserve">bankovních expertů, které se pohybovaly v rozmezí </w:t>
      </w:r>
      <w:r w:rsidR="001E6147" w:rsidRPr="004672E4">
        <w:t>od -</w:t>
      </w:r>
      <w:r w:rsidR="005044E1" w:rsidRPr="004672E4">
        <w:t xml:space="preserve">6,8 % </w:t>
      </w:r>
      <w:r w:rsidR="00875737" w:rsidRPr="004672E4">
        <w:t xml:space="preserve">do </w:t>
      </w:r>
      <w:r w:rsidR="001E6147" w:rsidRPr="004672E4">
        <w:t>-</w:t>
      </w:r>
      <w:r w:rsidR="005044E1" w:rsidRPr="004672E4">
        <w:t>10,3 %</w:t>
      </w:r>
      <w:r w:rsidR="00277774" w:rsidRPr="00FA67BA">
        <w:t>.</w:t>
      </w:r>
      <w:r w:rsidR="005044E1" w:rsidRPr="004672E4">
        <w:t xml:space="preserve"> Pro rok 2021 se prognostický panel ČBA shoduje na návratu k poměrně dynamickému hospodářskému růstu v meziroční výši 5,3 % HDP, přičemž jednotliv</w:t>
      </w:r>
      <w:r w:rsidR="00504D52" w:rsidRPr="004672E4">
        <w:t>é</w:t>
      </w:r>
      <w:r w:rsidR="005044E1" w:rsidRPr="004672E4">
        <w:t xml:space="preserve"> </w:t>
      </w:r>
      <w:r w:rsidR="00504D52" w:rsidRPr="004672E4">
        <w:t xml:space="preserve">odhady, z nichž je vybrán medián, </w:t>
      </w:r>
      <w:r w:rsidR="005044E1" w:rsidRPr="004672E4">
        <w:t xml:space="preserve">se liší od </w:t>
      </w:r>
      <w:r w:rsidR="00277774" w:rsidRPr="00FA67BA">
        <w:t xml:space="preserve">růstu o </w:t>
      </w:r>
      <w:r w:rsidR="005044E1" w:rsidRPr="004672E4">
        <w:t>3,5</w:t>
      </w:r>
      <w:r w:rsidR="00277774" w:rsidRPr="00FA67BA">
        <w:t xml:space="preserve"> %</w:t>
      </w:r>
      <w:r w:rsidR="005044E1" w:rsidRPr="004672E4">
        <w:t xml:space="preserve"> do</w:t>
      </w:r>
      <w:r w:rsidR="00277774" w:rsidRPr="00FA67BA">
        <w:t xml:space="preserve"> růstu o</w:t>
      </w:r>
      <w:r w:rsidR="005044E1" w:rsidRPr="004672E4">
        <w:t xml:space="preserve"> 7,1 % růstu HDP. </w:t>
      </w:r>
      <w:r w:rsidR="00B76371" w:rsidRPr="004672E4">
        <w:t xml:space="preserve">Pevný konsensus bankovních analytiků je i na tom, že na růst </w:t>
      </w:r>
      <w:r w:rsidR="004672E4">
        <w:t>bude</w:t>
      </w:r>
      <w:r w:rsidR="00B76371" w:rsidRPr="004672E4">
        <w:t xml:space="preserve"> česká ekonomika i v roce 2022, kdy by se měla dostat zpět na úrov</w:t>
      </w:r>
      <w:r w:rsidR="004672E4">
        <w:t>eň</w:t>
      </w:r>
      <w:r w:rsidR="00B76371" w:rsidRPr="004672E4">
        <w:t xml:space="preserve"> HDP z roku 2019 a odrazit se z ní k dalšímu růstu.</w:t>
      </w:r>
      <w:r w:rsidR="00296BA2" w:rsidRPr="004672E4">
        <w:t xml:space="preserve"> </w:t>
      </w:r>
    </w:p>
    <w:p w14:paraId="2ABAEEA0" w14:textId="77777777" w:rsidR="004951D0" w:rsidRDefault="004951D0" w:rsidP="00FA67BA">
      <w:pPr>
        <w:spacing w:line="276" w:lineRule="auto"/>
      </w:pPr>
    </w:p>
    <w:p w14:paraId="5FD18774" w14:textId="2AF41B3F" w:rsidR="007C64E9" w:rsidRDefault="005044E1" w:rsidP="00FA67BA">
      <w:pPr>
        <w:spacing w:line="276" w:lineRule="auto"/>
      </w:pPr>
      <w:r>
        <w:t>Nutno dodat, že se jedná o základní scénář</w:t>
      </w:r>
      <w:r w:rsidR="006C3FAB">
        <w:t xml:space="preserve"> prognózy</w:t>
      </w:r>
      <w:r>
        <w:t>, který nepočítá s</w:t>
      </w:r>
      <w:r w:rsidR="006B4B3B">
        <w:t xml:space="preserve"> případnou </w:t>
      </w:r>
      <w:r w:rsidR="006C3FAB">
        <w:t xml:space="preserve">další </w:t>
      </w:r>
      <w:r>
        <w:t>vlnou pandemie na podzim tohoto roku, ani s opakováním plošných opatření k zabránění šíření koronavirové nákazy</w:t>
      </w:r>
      <w:r w:rsidR="003677A0">
        <w:t xml:space="preserve"> v případě, že by se počet nakažených na podzim začal razantněji zvyšovat</w:t>
      </w:r>
      <w:r w:rsidR="00806020">
        <w:t xml:space="preserve">. Taková </w:t>
      </w:r>
      <w:r w:rsidR="005970F0">
        <w:t xml:space="preserve">plošná </w:t>
      </w:r>
      <w:r w:rsidR="00806020">
        <w:t>opatření</w:t>
      </w:r>
      <w:r w:rsidR="003677A0">
        <w:t xml:space="preserve"> by mohl</w:t>
      </w:r>
      <w:r w:rsidR="00806020">
        <w:t>a</w:t>
      </w:r>
      <w:r w:rsidR="003677A0">
        <w:t xml:space="preserve"> ekonomický výhled dále zhoršit</w:t>
      </w:r>
      <w:r>
        <w:t>.</w:t>
      </w:r>
      <w:r w:rsidR="005970F0">
        <w:t xml:space="preserve"> </w:t>
      </w:r>
      <w:r w:rsidR="003677A0">
        <w:t>P</w:t>
      </w:r>
      <w:r w:rsidR="00806020">
        <w:t xml:space="preserve">okud by však byla přijímána </w:t>
      </w:r>
      <w:r w:rsidR="003677A0">
        <w:t>s</w:t>
      </w:r>
      <w:r w:rsidR="00B76371">
        <w:t>elektivní (nikoli plošn</w:t>
      </w:r>
      <w:r w:rsidR="003677A0">
        <w:t>á</w:t>
      </w:r>
      <w:r w:rsidR="00B76371">
        <w:t>) opatření v ohniscích nákazy</w:t>
      </w:r>
      <w:r w:rsidR="00806020">
        <w:t>,</w:t>
      </w:r>
      <w:r w:rsidR="00B76371">
        <w:t xml:space="preserve"> </w:t>
      </w:r>
      <w:r w:rsidR="003677A0">
        <w:t xml:space="preserve">závažnost </w:t>
      </w:r>
      <w:r w:rsidR="00806020">
        <w:t xml:space="preserve">jejich </w:t>
      </w:r>
      <w:r w:rsidR="003677A0">
        <w:t xml:space="preserve">dopadů na </w:t>
      </w:r>
      <w:r w:rsidR="00806020">
        <w:t xml:space="preserve">zhoršení </w:t>
      </w:r>
      <w:r w:rsidR="003677A0">
        <w:t>hospodářsk</w:t>
      </w:r>
      <w:r w:rsidR="00806020">
        <w:t>ého</w:t>
      </w:r>
      <w:r w:rsidR="003677A0">
        <w:t xml:space="preserve"> výhled</w:t>
      </w:r>
      <w:r w:rsidR="00127364">
        <w:t>u</w:t>
      </w:r>
      <w:r w:rsidR="003677A0">
        <w:t xml:space="preserve"> </w:t>
      </w:r>
      <w:r w:rsidR="00806020">
        <w:t>by t</w:t>
      </w:r>
      <w:r w:rsidR="00127364">
        <w:t>outo selektivností</w:t>
      </w:r>
      <w:r w:rsidR="00806020">
        <w:t xml:space="preserve"> byla </w:t>
      </w:r>
      <w:r w:rsidR="003677A0">
        <w:t>zmírňov</w:t>
      </w:r>
      <w:r w:rsidR="00806020">
        <w:t>ána</w:t>
      </w:r>
      <w:r w:rsidR="003677A0">
        <w:t xml:space="preserve">. </w:t>
      </w:r>
    </w:p>
    <w:p w14:paraId="71C61CCC" w14:textId="584BA0F0" w:rsidR="00634E07" w:rsidRDefault="00634E07" w:rsidP="00FA67BA">
      <w:pPr>
        <w:spacing w:line="276" w:lineRule="auto"/>
      </w:pPr>
    </w:p>
    <w:p w14:paraId="686A0781" w14:textId="77777777" w:rsidR="00634E07" w:rsidRDefault="00634E07" w:rsidP="00FA67BA">
      <w:pPr>
        <w:spacing w:line="276" w:lineRule="auto"/>
      </w:pPr>
    </w:p>
    <w:p w14:paraId="19684068" w14:textId="37235087" w:rsidR="004951D0" w:rsidRDefault="004951D0">
      <w:pPr>
        <w:spacing w:line="276" w:lineRule="auto"/>
      </w:pPr>
    </w:p>
    <w:p w14:paraId="3D5DA6B2" w14:textId="7F5CB06B" w:rsidR="00F32F3A" w:rsidRPr="003401BC" w:rsidRDefault="00A2430B" w:rsidP="00FA67BA">
      <w:pPr>
        <w:spacing w:line="276" w:lineRule="auto"/>
        <w:rPr>
          <w:b/>
          <w:color w:val="007E79"/>
          <w:sz w:val="20"/>
        </w:rPr>
      </w:pPr>
      <w:r w:rsidRPr="003401BC">
        <w:rPr>
          <w:b/>
          <w:color w:val="007E79"/>
          <w:sz w:val="20"/>
        </w:rPr>
        <w:lastRenderedPageBreak/>
        <w:t xml:space="preserve">Vliv </w:t>
      </w:r>
      <w:r w:rsidR="005C60BB">
        <w:rPr>
          <w:b/>
          <w:color w:val="007E79"/>
          <w:sz w:val="20"/>
        </w:rPr>
        <w:t xml:space="preserve">hospodářského poklesu ve světě </w:t>
      </w:r>
      <w:r w:rsidRPr="003401BC">
        <w:rPr>
          <w:b/>
          <w:color w:val="007E79"/>
          <w:sz w:val="20"/>
        </w:rPr>
        <w:t>na</w:t>
      </w:r>
      <w:r w:rsidR="00F32F3A" w:rsidRPr="003401BC">
        <w:rPr>
          <w:b/>
          <w:color w:val="007E79"/>
          <w:sz w:val="20"/>
        </w:rPr>
        <w:t xml:space="preserve"> naše hospodářství</w:t>
      </w:r>
      <w:r w:rsidR="005C60BB">
        <w:rPr>
          <w:b/>
          <w:color w:val="007E79"/>
          <w:sz w:val="20"/>
        </w:rPr>
        <w:t>: Německo jako lokomotiva obnovy</w:t>
      </w:r>
    </w:p>
    <w:p w14:paraId="3025844F" w14:textId="2EFC67B9" w:rsidR="00640878" w:rsidRDefault="00CF04CA" w:rsidP="00FA67BA">
      <w:pPr>
        <w:spacing w:line="276" w:lineRule="auto"/>
      </w:pPr>
      <w:r>
        <w:t>Mezinárodní měnový fond</w:t>
      </w:r>
      <w:r w:rsidR="00BF73F4">
        <w:t xml:space="preserve"> odhaduje letošní </w:t>
      </w:r>
      <w:r w:rsidR="00127364">
        <w:t>pokles</w:t>
      </w:r>
      <w:r>
        <w:t xml:space="preserve"> </w:t>
      </w:r>
      <w:r w:rsidR="00BF73F4">
        <w:t>světového HDP</w:t>
      </w:r>
      <w:r w:rsidR="00127364">
        <w:t xml:space="preserve"> o 4,9 %</w:t>
      </w:r>
      <w:r w:rsidR="00BF73F4">
        <w:t>. Za tímto údajem se však skrývá rozdíl mezi odhady pro vyspělé ekonomiky (kolem minus 8 %</w:t>
      </w:r>
      <w:r w:rsidR="00864AC0">
        <w:t>)</w:t>
      </w:r>
      <w:r w:rsidR="00BF73F4">
        <w:t xml:space="preserve"> a rozvíjející se ekonomiky, kde je</w:t>
      </w:r>
      <w:r w:rsidR="00127364">
        <w:t xml:space="preserve"> očekávaný pokles</w:t>
      </w:r>
      <w:r w:rsidR="00BF73F4">
        <w:t xml:space="preserve"> nižší</w:t>
      </w:r>
      <w:r w:rsidR="00127364">
        <w:t>.</w:t>
      </w:r>
      <w:r w:rsidR="00BF73F4">
        <w:t xml:space="preserve"> </w:t>
      </w:r>
    </w:p>
    <w:p w14:paraId="1772E735" w14:textId="77777777" w:rsidR="00640878" w:rsidRDefault="00640878" w:rsidP="00FA67BA">
      <w:pPr>
        <w:spacing w:line="276" w:lineRule="auto"/>
      </w:pPr>
    </w:p>
    <w:p w14:paraId="50BF8C87" w14:textId="6544FD1A" w:rsidR="000D1B44" w:rsidRDefault="00BF73F4">
      <w:pPr>
        <w:spacing w:line="276" w:lineRule="auto"/>
      </w:pPr>
      <w:r>
        <w:t>Pro českou ekonomiku je zásadní, že odhadovan</w:t>
      </w:r>
      <w:r w:rsidR="00127364">
        <w:t>ý pokles</w:t>
      </w:r>
      <w:r>
        <w:t xml:space="preserve"> </w:t>
      </w:r>
      <w:r w:rsidR="00640878">
        <w:t>n</w:t>
      </w:r>
      <w:r>
        <w:t xml:space="preserve">ěmecké ekonomiky je </w:t>
      </w:r>
      <w:r w:rsidR="00127364">
        <w:t>mírnější</w:t>
      </w:r>
      <w:r>
        <w:t xml:space="preserve"> </w:t>
      </w:r>
      <w:r w:rsidR="00127364">
        <w:t xml:space="preserve">než v případě eurozóny jako celku </w:t>
      </w:r>
      <w:r>
        <w:t>(dle E</w:t>
      </w:r>
      <w:r w:rsidR="00C71D3C">
        <w:t>vropské komise</w:t>
      </w:r>
      <w:r>
        <w:t xml:space="preserve"> </w:t>
      </w:r>
      <w:r w:rsidR="00806020">
        <w:t xml:space="preserve">dojde v Německu k propadu HDP </w:t>
      </w:r>
      <w:r w:rsidR="00C71D3C">
        <w:t>o</w:t>
      </w:r>
      <w:r w:rsidR="00806020">
        <w:t xml:space="preserve"> zhruba</w:t>
      </w:r>
      <w:r w:rsidR="00C71D3C">
        <w:t xml:space="preserve"> </w:t>
      </w:r>
      <w:r>
        <w:t>6 %)</w:t>
      </w:r>
      <w:r w:rsidR="00127364">
        <w:t xml:space="preserve">. Pro eurozónu </w:t>
      </w:r>
      <w:r>
        <w:t xml:space="preserve">prognostický panel ČBA </w:t>
      </w:r>
      <w:r w:rsidR="00806020">
        <w:t>předpovídá pokles</w:t>
      </w:r>
      <w:r>
        <w:t xml:space="preserve"> </w:t>
      </w:r>
      <w:r w:rsidR="00806020">
        <w:t xml:space="preserve">o </w:t>
      </w:r>
      <w:r>
        <w:t>7,9</w:t>
      </w:r>
      <w:r w:rsidR="00127364">
        <w:t xml:space="preserve"> </w:t>
      </w:r>
      <w:r>
        <w:t>% (s rozptylem odhadů od 5,9</w:t>
      </w:r>
      <w:r w:rsidR="00127364">
        <w:t xml:space="preserve"> %</w:t>
      </w:r>
      <w:r>
        <w:t xml:space="preserve"> do 9,5 % ročního poklesu</w:t>
      </w:r>
      <w:r w:rsidR="006520AA">
        <w:t>)</w:t>
      </w:r>
      <w:r w:rsidR="00127364">
        <w:t>. Tento rozptyl odhadů</w:t>
      </w:r>
      <w:r w:rsidR="00CD149B">
        <w:t xml:space="preserve"> je dán rozdíl</w:t>
      </w:r>
      <w:r w:rsidR="00127364">
        <w:t>y v</w:t>
      </w:r>
      <w:r w:rsidR="00CD149B">
        <w:t xml:space="preserve"> očekávání</w:t>
      </w:r>
      <w:r w:rsidR="00127364">
        <w:t>ch</w:t>
      </w:r>
      <w:r w:rsidR="00CD149B">
        <w:t>, kdy a jak dojde v průběhu letošního roku k oživení</w:t>
      </w:r>
      <w:r>
        <w:t xml:space="preserve">. </w:t>
      </w:r>
      <w:r w:rsidR="00640878">
        <w:t>V roce 2021 bankovní analytici</w:t>
      </w:r>
      <w:r w:rsidR="00A248E2">
        <w:t>,</w:t>
      </w:r>
      <w:r w:rsidR="00640878">
        <w:t xml:space="preserve"> čekají růst HDP</w:t>
      </w:r>
      <w:r w:rsidR="00127364">
        <w:t xml:space="preserve"> o 5,2 % </w:t>
      </w:r>
      <w:r w:rsidR="00640878">
        <w:t xml:space="preserve">v eurozóně jako celku (rozptyl odhadů je tentokrát mezi </w:t>
      </w:r>
      <w:r w:rsidR="00127364">
        <w:t xml:space="preserve">+ </w:t>
      </w:r>
      <w:r w:rsidR="00640878">
        <w:t>4,3</w:t>
      </w:r>
      <w:r w:rsidR="001E7969">
        <w:t xml:space="preserve"> %</w:t>
      </w:r>
      <w:r w:rsidR="00640878">
        <w:t xml:space="preserve"> a </w:t>
      </w:r>
      <w:r w:rsidR="00127364">
        <w:t xml:space="preserve">+ </w:t>
      </w:r>
      <w:r w:rsidR="00640878">
        <w:t xml:space="preserve">8,6 %). </w:t>
      </w:r>
      <w:r>
        <w:t>Zdá se, že německá vláda opatření na podporu jak poptávky, tak nabídk</w:t>
      </w:r>
      <w:r w:rsidR="00127364">
        <w:t>y</w:t>
      </w:r>
      <w:r>
        <w:t xml:space="preserve"> kalibr</w:t>
      </w:r>
      <w:r w:rsidR="00640878">
        <w:t xml:space="preserve">ovala velkoryse </w:t>
      </w:r>
      <w:r>
        <w:t>a v pravou chvíli</w:t>
      </w:r>
      <w:r w:rsidR="00640878">
        <w:t xml:space="preserve"> </w:t>
      </w:r>
      <w:r w:rsidR="00A248E2">
        <w:t>tak</w:t>
      </w:r>
      <w:r w:rsidR="00640878">
        <w:t xml:space="preserve">, aby se </w:t>
      </w:r>
      <w:r w:rsidR="00A248E2">
        <w:t xml:space="preserve">Německo </w:t>
      </w:r>
      <w:r w:rsidR="00640878">
        <w:t xml:space="preserve">ve druhé polovině tohoto roku a zejména v letech následujících </w:t>
      </w:r>
      <w:r w:rsidR="00A248E2">
        <w:t xml:space="preserve">stalo </w:t>
      </w:r>
      <w:r w:rsidR="00640878">
        <w:t xml:space="preserve">opět lokomotivou evropského růstu. Což je vynikající zpráva pro českou exportní ekonomiku, která je do značné míry na </w:t>
      </w:r>
      <w:r w:rsidR="000D1B44">
        <w:t>vývoji hospodářství</w:t>
      </w:r>
      <w:r w:rsidR="00640878">
        <w:t xml:space="preserve"> velkého souseda závislá. </w:t>
      </w:r>
      <w:r w:rsidR="001E7969">
        <w:t>Německé hospodářské oživení může být navíc podpořeno i nárůstem německého exportu do</w:t>
      </w:r>
      <w:r w:rsidR="00A72405">
        <w:t xml:space="preserve"> Spojených států amerických.</w:t>
      </w:r>
    </w:p>
    <w:p w14:paraId="25618EF7" w14:textId="6C4E7D2C" w:rsidR="000D1B44" w:rsidRDefault="000D1B44">
      <w:pPr>
        <w:spacing w:line="276" w:lineRule="auto"/>
      </w:pPr>
    </w:p>
    <w:p w14:paraId="57788A0B" w14:textId="33EECF47" w:rsidR="007F16CA" w:rsidRDefault="007F16CA" w:rsidP="00FA67BA">
      <w:pPr>
        <w:spacing w:line="276" w:lineRule="auto"/>
      </w:pPr>
      <w:r>
        <w:t>Odhady</w:t>
      </w:r>
      <w:r w:rsidR="00A72405">
        <w:t xml:space="preserve"> dalšího vývoje hospodářství</w:t>
      </w:r>
      <w:r>
        <w:t xml:space="preserve"> pro Čínu</w:t>
      </w:r>
      <w:r w:rsidR="00A72405">
        <w:t>, jakožto globálního hráče na světové ekonomické scéně</w:t>
      </w:r>
      <w:r>
        <w:t xml:space="preserve"> jsou sice daleko méně spolehlivé, </w:t>
      </w:r>
      <w:r w:rsidR="00A72405">
        <w:t xml:space="preserve">ale </w:t>
      </w:r>
      <w:r>
        <w:t>i tady se zdá, že návrat na růstovou trajektorii již započal.</w:t>
      </w:r>
    </w:p>
    <w:p w14:paraId="34EECCE2" w14:textId="77777777" w:rsidR="006E335A" w:rsidRDefault="006E335A" w:rsidP="00FA67BA">
      <w:pPr>
        <w:spacing w:line="276" w:lineRule="auto"/>
      </w:pPr>
    </w:p>
    <w:p w14:paraId="40D6BD14" w14:textId="4BAF2821" w:rsidR="00F4204D" w:rsidRDefault="00F4204D" w:rsidP="00F4204D">
      <w:pPr>
        <w:spacing w:line="276" w:lineRule="auto"/>
      </w:pPr>
      <w:r>
        <w:t>Pokud jde o opatření na úrovni EU, byla při krátkodobém zvládání krize relativně pomalá a zásadní kroky proběhly na národních úrovních. Oblastí, kde však může EU ovlivnit svou politikou exportně orientovanou českou ekonomiku jsou na prvním místě emisní limity pro automobilky. Velmi zásadní bude přístup Evropské komise k případnému rozvolnění, resp. rozložení v</w:t>
      </w:r>
      <w:r w:rsidR="00405417">
        <w:t> </w:t>
      </w:r>
      <w:r>
        <w:t>čase</w:t>
      </w:r>
      <w:r w:rsidR="00405417">
        <w:t xml:space="preserve"> náběhu</w:t>
      </w:r>
      <w:r>
        <w:t xml:space="preserve"> přísných emisních limitů. Pokuty za jejich nedodržení by mohly dopadat do cen pro konečného spotřebitele a ovlivnit poptávku po nových vozech. To </w:t>
      </w:r>
      <w:r w:rsidR="00405417">
        <w:t xml:space="preserve">by </w:t>
      </w:r>
      <w:r>
        <w:t>m</w:t>
      </w:r>
      <w:r w:rsidR="00405417">
        <w:t>ohlo</w:t>
      </w:r>
      <w:r>
        <w:t xml:space="preserve"> </w:t>
      </w:r>
      <w:r w:rsidR="00405417">
        <w:t xml:space="preserve">negativně </w:t>
      </w:r>
      <w:r>
        <w:t xml:space="preserve">ovlivnit výkon automobilového průmyslu, a tím i exportní výkon ekonomik, zejména těch, v nichž právě </w:t>
      </w:r>
      <w:r w:rsidRPr="007F16CA">
        <w:rPr>
          <w:i/>
        </w:rPr>
        <w:t>automotive</w:t>
      </w:r>
      <w:r>
        <w:t xml:space="preserve"> tvoří významnou součást jejich výrobního i vývozního potenciálu, což se týká jak Německa, tak Česka.</w:t>
      </w:r>
    </w:p>
    <w:p w14:paraId="5897468C" w14:textId="092072AC" w:rsidR="00F4204D" w:rsidRDefault="00F4204D" w:rsidP="00F4204D">
      <w:pPr>
        <w:spacing w:line="276" w:lineRule="auto"/>
      </w:pPr>
    </w:p>
    <w:p w14:paraId="72037DE8" w14:textId="575A1708" w:rsidR="00F4204D" w:rsidRDefault="004B74EC" w:rsidP="00F4204D">
      <w:pPr>
        <w:spacing w:line="276" w:lineRule="auto"/>
      </w:pPr>
      <w:r>
        <w:rPr>
          <w:noProof/>
        </w:rPr>
        <mc:AlternateContent>
          <mc:Choice Requires="wps">
            <w:drawing>
              <wp:anchor distT="45720" distB="45720" distL="114300" distR="114300" simplePos="0" relativeHeight="251695104" behindDoc="0" locked="0" layoutInCell="1" allowOverlap="1" wp14:anchorId="01DC8009" wp14:editId="363262E0">
                <wp:simplePos x="0" y="0"/>
                <wp:positionH relativeFrom="margin">
                  <wp:align>right</wp:align>
                </wp:positionH>
                <wp:positionV relativeFrom="paragraph">
                  <wp:posOffset>545465</wp:posOffset>
                </wp:positionV>
                <wp:extent cx="6464300" cy="1404620"/>
                <wp:effectExtent l="0" t="0" r="12700" b="2286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384D4214" w14:textId="3313016B" w:rsidR="004B74EC" w:rsidRDefault="004B74EC" w:rsidP="004B74EC">
                            <w:pPr>
                              <w:spacing w:line="276" w:lineRule="auto"/>
                              <w:rPr>
                                <w:color w:val="FF0000"/>
                              </w:rPr>
                            </w:pPr>
                            <w:r>
                              <w:rPr>
                                <w:rFonts w:cs="Arial"/>
                                <w:b/>
                                <w:bCs/>
                                <w:color w:val="000000"/>
                                <w:szCs w:val="18"/>
                                <w:shd w:val="clear" w:color="auto" w:fill="FFFFFF"/>
                              </w:rPr>
                              <w:t>Miroslav Zámečník, ekonomický analytik ČBA</w:t>
                            </w:r>
                            <w:r w:rsidRPr="00FA67BA">
                              <w:rPr>
                                <w:rFonts w:cs="Arial"/>
                                <w:b/>
                                <w:bCs/>
                                <w:color w:val="000000"/>
                                <w:szCs w:val="18"/>
                                <w:shd w:val="clear" w:color="auto" w:fill="FFFFFF"/>
                              </w:rPr>
                              <w:t>:</w:t>
                            </w:r>
                          </w:p>
                          <w:p w14:paraId="06ECC03A" w14:textId="15DBF3E5" w:rsidR="004B74EC" w:rsidRPr="00FA67BA" w:rsidRDefault="004B74EC" w:rsidP="004B74EC">
                            <w:pPr>
                              <w:rPr>
                                <w:i/>
                                <w:iCs/>
                              </w:rPr>
                            </w:pPr>
                            <w:r w:rsidRPr="00FA67BA">
                              <w:rPr>
                                <w:i/>
                                <w:iCs/>
                              </w:rPr>
                              <w:t>„</w:t>
                            </w:r>
                            <w:r w:rsidRPr="004B74EC">
                              <w:rPr>
                                <w:i/>
                                <w:iCs/>
                              </w:rPr>
                              <w:t>Pro Česko je samozřejmě klíčové, co se v příštích měsících a dvou až třech letech odehraje v automobilovém průmyslu, který je postižen nejen momentálním dvouciferným poklesem poptávky. Kromě vysokých pokut za překročení emisních limitů, což bude mít dopady na jejich ziskovost, investiční aktivitu i zaměstnanost, je tady i technologická změna, která sníží sama o sobě poptávku u mnoha výrobců dílů tak či onak souvisejících se spalovacími motory.“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C8009" id="_x0000_s1028" type="#_x0000_t202" style="position:absolute;left:0;text-align:left;margin-left:457.8pt;margin-top:42.95pt;width:509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nyLwIAAFEEAAAOAAAAZHJzL2Uyb0RvYy54bWysVF2O0zAQfkfiDpbfadKQlt2o6WrpUoS0&#10;/Ei7HMB1nMbC9hjbbVJuxDm4GGOnLdUCL4g8WB7P+PPM981kcTNoRfbCeQmmptNJTokwHBpptjX9&#10;/Lh+cUWJD8w0TIERNT0IT2+Wz58teluJAjpQjXAEQYyvelvTLgRbZZnnndDMT8AKg84WnGYBTbfN&#10;Gsd6RNcqK/J8nvXgGuuAC+/x9G500mXCb1vBw8e29SIQVVPMLaTVpXUT12y5YNXWMdtJfkyD/UMW&#10;mkmDj56h7lhgZOfkb1Bacgce2jDhoDNoW8lFqgGrmeZPqnnomBWpFiTH2zNN/v/B8g/7T47IpqYF&#10;JYZplOhRDAH2P74TC0qQIlLUW19h5IPF2DC8hgGlTuV6ew/8iycGVh0zW3HrHPSdYA2mOI03s4ur&#10;I46PIJv+PTT4FtsFSEBD63TkDxkhiI5SHc7yYD6E4+G8nJcvc3Rx9E3LvJwXScCMVafr1vnwVoAm&#10;cVNTh/oneLa/9yGmw6pTSHzNg5LNWiqVDLfdrJQje4a9sk5fquBJmDKkr+n1rJiNDPwVIk/fnyC0&#10;DNj0SuqaXp2DWBV5e2Oa1JKBSTXuMWVljkRG7kYWw7AZkmyzkz4baA7IrIOxx3EmcdOB+0ZJj/1d&#10;U/91x5ygRL0zqM71tCzjQCSjnL1CKom79GwuPcxwhKppoGTcrkIaosSbvUUV1zLxG+UeMzmmjH2b&#10;aD/OWByMSztF/foTLH8CAAD//wMAUEsDBBQABgAIAAAAIQBMUrF33QAAAAgBAAAPAAAAZHJzL2Rv&#10;d25yZXYueG1sTI/BTsMwEETvSPyDtUhcqtYOVUoasqmgUk+cGsrdjZckIl6H2G3Tv8c9wXF2VjNv&#10;is1ke3Gm0XeOEZKFAkFcO9Nxg3D42M0zED5oNrp3TAhX8rAp7+8KnRt34T2dq9CIGMI+1whtCEMu&#10;pa9bstov3EAcvS83Wh2iHBtpRn2J4baXT0qtpNUdx4ZWD7Rtqf6uThZh9VMtZ++fZsb76+5trG1q&#10;tocU8fFhen0BEWgKf89ww4/oUEamozux8aJHiEMCQpauQdxclWTxckRYqucEZFnI/wPKXwAAAP//&#10;AwBQSwECLQAUAAYACAAAACEAtoM4kv4AAADhAQAAEwAAAAAAAAAAAAAAAAAAAAAAW0NvbnRlbnRf&#10;VHlwZXNdLnhtbFBLAQItABQABgAIAAAAIQA4/SH/1gAAAJQBAAALAAAAAAAAAAAAAAAAAC8BAABf&#10;cmVscy8ucmVsc1BLAQItABQABgAIAAAAIQATzinyLwIAAFEEAAAOAAAAAAAAAAAAAAAAAC4CAABk&#10;cnMvZTJvRG9jLnhtbFBLAQItABQABgAIAAAAIQBMUrF33QAAAAgBAAAPAAAAAAAAAAAAAAAAAIkE&#10;AABkcnMvZG93bnJldi54bWxQSwUGAAAAAAQABADzAAAAkwUAAAAA&#10;">
                <v:textbox style="mso-fit-shape-to-text:t">
                  <w:txbxContent>
                    <w:p w14:paraId="384D4214" w14:textId="3313016B" w:rsidR="004B74EC" w:rsidRDefault="004B74EC" w:rsidP="004B74EC">
                      <w:pPr>
                        <w:spacing w:line="276" w:lineRule="auto"/>
                        <w:rPr>
                          <w:color w:val="FF0000"/>
                        </w:rPr>
                      </w:pPr>
                      <w:r>
                        <w:rPr>
                          <w:rFonts w:cs="Arial"/>
                          <w:b/>
                          <w:bCs/>
                          <w:color w:val="000000"/>
                          <w:szCs w:val="18"/>
                          <w:shd w:val="clear" w:color="auto" w:fill="FFFFFF"/>
                        </w:rPr>
                        <w:t>Miroslav Zámečník, ekonomický analytik ČBA</w:t>
                      </w:r>
                      <w:r w:rsidRPr="00FA67BA">
                        <w:rPr>
                          <w:rFonts w:cs="Arial"/>
                          <w:b/>
                          <w:bCs/>
                          <w:color w:val="000000"/>
                          <w:szCs w:val="18"/>
                          <w:shd w:val="clear" w:color="auto" w:fill="FFFFFF"/>
                        </w:rPr>
                        <w:t>:</w:t>
                      </w:r>
                    </w:p>
                    <w:p w14:paraId="06ECC03A" w14:textId="15DBF3E5" w:rsidR="004B74EC" w:rsidRPr="00FA67BA" w:rsidRDefault="004B74EC" w:rsidP="004B74EC">
                      <w:pPr>
                        <w:rPr>
                          <w:i/>
                          <w:iCs/>
                        </w:rPr>
                      </w:pPr>
                      <w:r w:rsidRPr="00FA67BA">
                        <w:rPr>
                          <w:i/>
                          <w:iCs/>
                        </w:rPr>
                        <w:t>„</w:t>
                      </w:r>
                      <w:r w:rsidRPr="004B74EC">
                        <w:rPr>
                          <w:i/>
                          <w:iCs/>
                        </w:rPr>
                        <w:t>Pro Česko je samozřejmě klíčové, co se v příštích měsících a dvou až třech letech odehraje v automobilovém průmyslu, který je postižen nejen momentálním dvouciferným poklesem poptávky. Kromě vysokých pokut za překročení emisních limitů, což bude mít dopady na jejich ziskovost, investiční aktivitu i zaměstnanost, je tady i technologická změna, která sníží sama o sobě poptávku u mnoha výrobců dílů tak či onak souvisejících se spalovacími motory.“</w:t>
                      </w:r>
                    </w:p>
                  </w:txbxContent>
                </v:textbox>
                <w10:wrap type="square" anchorx="margin"/>
              </v:shape>
            </w:pict>
          </mc:Fallback>
        </mc:AlternateContent>
      </w:r>
      <w:r w:rsidR="00F4204D">
        <w:t xml:space="preserve">V rámci strategie boje EU s klimatickou změnou </w:t>
      </w:r>
      <w:r w:rsidR="00405417">
        <w:t xml:space="preserve">pak </w:t>
      </w:r>
      <w:r w:rsidR="00F4204D">
        <w:t xml:space="preserve">bude vzhledem k českému energetickému mixu středně, a ještě spíš dlouhodobě zcela zásadní, jak se ve finále EU postaví k jaderné energetice a zda ji v rámci taxonomie zařadí mezi udržitelná energetická odvětví. </w:t>
      </w:r>
    </w:p>
    <w:p w14:paraId="005C3A2A" w14:textId="1A0545F9" w:rsidR="00640878" w:rsidRDefault="00640878" w:rsidP="00FA67BA">
      <w:pPr>
        <w:spacing w:line="276" w:lineRule="auto"/>
      </w:pPr>
    </w:p>
    <w:p w14:paraId="7306EF6D" w14:textId="57B150AF" w:rsidR="00F32F3A" w:rsidRPr="003401BC" w:rsidRDefault="00A2430B" w:rsidP="00FA67BA">
      <w:pPr>
        <w:spacing w:line="276" w:lineRule="auto"/>
        <w:rPr>
          <w:b/>
          <w:color w:val="007E79"/>
          <w:sz w:val="20"/>
        </w:rPr>
      </w:pPr>
      <w:r w:rsidRPr="003401BC">
        <w:rPr>
          <w:b/>
          <w:color w:val="007E79"/>
          <w:sz w:val="20"/>
        </w:rPr>
        <w:t>Výhled h</w:t>
      </w:r>
      <w:r w:rsidR="00F32F3A" w:rsidRPr="003401BC">
        <w:rPr>
          <w:b/>
          <w:color w:val="007E79"/>
          <w:sz w:val="20"/>
        </w:rPr>
        <w:t>ospodářsk</w:t>
      </w:r>
      <w:r w:rsidRPr="003401BC">
        <w:rPr>
          <w:b/>
          <w:color w:val="007E79"/>
          <w:sz w:val="20"/>
        </w:rPr>
        <w:t>ého</w:t>
      </w:r>
      <w:r w:rsidR="00F32F3A" w:rsidRPr="003401BC">
        <w:rPr>
          <w:b/>
          <w:color w:val="007E79"/>
          <w:sz w:val="20"/>
        </w:rPr>
        <w:t xml:space="preserve"> růst</w:t>
      </w:r>
      <w:r w:rsidRPr="003401BC">
        <w:rPr>
          <w:b/>
          <w:color w:val="007E79"/>
          <w:sz w:val="20"/>
        </w:rPr>
        <w:t>u ČR</w:t>
      </w:r>
      <w:r w:rsidR="005C60BB">
        <w:rPr>
          <w:b/>
          <w:color w:val="007E79"/>
          <w:sz w:val="20"/>
        </w:rPr>
        <w:t xml:space="preserve">: </w:t>
      </w:r>
      <w:r w:rsidR="00F462BC">
        <w:rPr>
          <w:b/>
          <w:color w:val="007E79"/>
          <w:sz w:val="20"/>
        </w:rPr>
        <w:t xml:space="preserve">klíčem jsou investice a export </w:t>
      </w:r>
    </w:p>
    <w:p w14:paraId="4528089B" w14:textId="20116B1C" w:rsidR="002E732D" w:rsidRDefault="003F2B91" w:rsidP="00FA67BA">
      <w:pPr>
        <w:spacing w:line="276" w:lineRule="auto"/>
      </w:pPr>
      <w:r>
        <w:t xml:space="preserve">Co se dopadu </w:t>
      </w:r>
      <w:r w:rsidR="000D1B44">
        <w:t>administrativních</w:t>
      </w:r>
      <w:r>
        <w:t xml:space="preserve"> opatření k zabránění šíření koronavirové nákazy na jednotlivé </w:t>
      </w:r>
      <w:r w:rsidR="000D1B44">
        <w:t xml:space="preserve">části </w:t>
      </w:r>
      <w:r>
        <w:t>českého HDP týká, podle odhadů (nejen) prognostického panelu ČBA budou v letošním roce nej</w:t>
      </w:r>
      <w:r w:rsidR="006E335A">
        <w:t>více zasažené</w:t>
      </w:r>
      <w:r>
        <w:t xml:space="preserve"> soukromé investice a exporty. Pokles soukromých investic bankovní analytici odhadují meziročně </w:t>
      </w:r>
      <w:r w:rsidR="00405417">
        <w:t>o</w:t>
      </w:r>
      <w:r>
        <w:t xml:space="preserve"> 15,7 %, meziroční pokles exportního výkonu </w:t>
      </w:r>
      <w:r w:rsidR="00405417">
        <w:t>o</w:t>
      </w:r>
      <w:r>
        <w:t xml:space="preserve"> 12,1 %. Dopad na čisté exporty bude zmírňován souběžným poklesem dovozů</w:t>
      </w:r>
      <w:r w:rsidR="000D1B44">
        <w:t>,</w:t>
      </w:r>
      <w:r>
        <w:t xml:space="preserve"> odhadovaným pro letošek </w:t>
      </w:r>
      <w:r w:rsidR="00405417">
        <w:t>o</w:t>
      </w:r>
      <w:r>
        <w:t xml:space="preserve"> 8,7 %. </w:t>
      </w:r>
      <w:r w:rsidR="006E335A">
        <w:t xml:space="preserve">Soukromá spotřeba bude – mj. i díky vládním opatřením typu </w:t>
      </w:r>
      <w:r w:rsidR="006E335A" w:rsidRPr="006E335A">
        <w:rPr>
          <w:i/>
        </w:rPr>
        <w:t>kurzarbeit</w:t>
      </w:r>
      <w:r w:rsidR="006E335A">
        <w:t xml:space="preserve"> letos zasažena mírněji, odhadujeme její pokles o 3,4 %. Vládní spotřeba naopak</w:t>
      </w:r>
      <w:r w:rsidR="00CD4F2C">
        <w:t>,</w:t>
      </w:r>
      <w:r w:rsidR="006E335A">
        <w:t xml:space="preserve"> díky schváleným podpůrným balíčkům</w:t>
      </w:r>
      <w:r w:rsidR="00CD4F2C">
        <w:t xml:space="preserve"> a</w:t>
      </w:r>
      <w:r w:rsidR="006E335A">
        <w:t xml:space="preserve"> v závislosti na míře jejich čerpání</w:t>
      </w:r>
      <w:r w:rsidR="00CD4F2C">
        <w:t>,</w:t>
      </w:r>
      <w:r w:rsidR="006E335A">
        <w:t xml:space="preserve"> naroste meziročně o 6,1 %. </w:t>
      </w:r>
    </w:p>
    <w:p w14:paraId="14394CE4" w14:textId="77777777" w:rsidR="006E335A" w:rsidRDefault="006E335A" w:rsidP="00FA67BA">
      <w:pPr>
        <w:spacing w:line="276" w:lineRule="auto"/>
      </w:pPr>
    </w:p>
    <w:p w14:paraId="75479114" w14:textId="35B4E7A0" w:rsidR="006E335A" w:rsidRDefault="00023000" w:rsidP="00FA67BA">
      <w:pPr>
        <w:spacing w:line="276" w:lineRule="auto"/>
      </w:pPr>
      <w:r>
        <w:t xml:space="preserve">Příčina </w:t>
      </w:r>
      <w:r w:rsidR="0064668C">
        <w:t xml:space="preserve">propadu </w:t>
      </w:r>
      <w:r>
        <w:t>u zahraničního obchodu je jasná</w:t>
      </w:r>
      <w:r w:rsidR="00405417">
        <w:t>. T</w:t>
      </w:r>
      <w:r>
        <w:t>éměř tříměsíční generální odstávka automobilového průmyslu</w:t>
      </w:r>
      <w:r w:rsidR="00A415DD">
        <w:t>,</w:t>
      </w:r>
      <w:r>
        <w:t xml:space="preserve"> a tím pádem i řady navazujících odvětví</w:t>
      </w:r>
      <w:r w:rsidR="00A415DD">
        <w:t>,</w:t>
      </w:r>
      <w:r>
        <w:t xml:space="preserve"> si vybrala svou daň. Investiční aktivita </w:t>
      </w:r>
      <w:r w:rsidR="00A415DD">
        <w:t xml:space="preserve">soukromého sektoru </w:t>
      </w:r>
      <w:r>
        <w:t xml:space="preserve">logicky </w:t>
      </w:r>
      <w:r w:rsidR="00A415DD">
        <w:t xml:space="preserve">rovněž </w:t>
      </w:r>
      <w:r>
        <w:t>poklesla – firmy vzhledem k nejisté budoucnosti omezují výdaje a šetří, navíc vládní podpůrné programy v první polovině roku byly zaměřeny (s výjimkou COVID Plus) na podporu provozního financování</w:t>
      </w:r>
      <w:r w:rsidR="00A415DD">
        <w:t>, nikoli investic</w:t>
      </w:r>
      <w:r>
        <w:t>. Dobrou zprávou je, že i v průběhu krize některé segmenty hospodářství</w:t>
      </w:r>
      <w:r w:rsidR="00F4204D">
        <w:t>,</w:t>
      </w:r>
      <w:r>
        <w:t xml:space="preserve"> založené na dálkovém přístupu, vyšší míře digitalizace (jako např. e-shopy) či na orientaci na domácí ekonomiku prosperovaly, nicméně jejich v</w:t>
      </w:r>
      <w:r w:rsidR="00F4204D">
        <w:t>liv</w:t>
      </w:r>
      <w:r>
        <w:t xml:space="preserve"> na vyrovnání hospodářského poklesu nebyl dostačující. </w:t>
      </w:r>
      <w:r w:rsidR="00F462BC">
        <w:t xml:space="preserve">Pokud jde o </w:t>
      </w:r>
      <w:r>
        <w:t>domácnost</w:t>
      </w:r>
      <w:r w:rsidR="00F462BC">
        <w:t>i,</w:t>
      </w:r>
      <w:r>
        <w:t xml:space="preserve"> na </w:t>
      </w:r>
      <w:r w:rsidR="00F462BC">
        <w:t xml:space="preserve">jejich </w:t>
      </w:r>
      <w:r>
        <w:t xml:space="preserve">další </w:t>
      </w:r>
      <w:r w:rsidR="00F4204D">
        <w:t xml:space="preserve">spotřebitelské </w:t>
      </w:r>
      <w:r>
        <w:t>chování bude mít vliv jak zmírnění či naopak zvýšení obav z dalšího vývoje epidemiologické situace či vývoj situace na trhu práce ve druhé polovině letošního roku a v roce příštím, až skončí platební moratoria a podpůrná mzdová opatření.</w:t>
      </w:r>
    </w:p>
    <w:p w14:paraId="22015FD0" w14:textId="77777777" w:rsidR="00302716" w:rsidRDefault="00302716" w:rsidP="00FA67BA">
      <w:pPr>
        <w:spacing w:line="276" w:lineRule="auto"/>
      </w:pPr>
    </w:p>
    <w:p w14:paraId="29C56CD4" w14:textId="06F0719E" w:rsidR="00302716" w:rsidRDefault="00302716" w:rsidP="00FA67BA">
      <w:pPr>
        <w:spacing w:line="276" w:lineRule="auto"/>
      </w:pPr>
      <w:r>
        <w:lastRenderedPageBreak/>
        <w:t>Pro příští rok očekávají bankovní analytici oživení meziroční soukromé spotřeby o 3,1 %, investic dokonce o 4,6 %, oživí se i exportní aktivita na očekávaný 9% roční růst</w:t>
      </w:r>
      <w:r w:rsidR="000A1EA1">
        <w:t>,</w:t>
      </w:r>
      <w:r w:rsidR="00F35ABF">
        <w:t xml:space="preserve"> dovozy</w:t>
      </w:r>
      <w:r>
        <w:t xml:space="preserve"> by měly v souladu s tím narůst o 7,7 %</w:t>
      </w:r>
      <w:r w:rsidR="000A1EA1">
        <w:t>.</w:t>
      </w:r>
      <w:r>
        <w:t xml:space="preserve"> Očekávaný nárůst vládní spotřeby pro rok 2021 je 2,6 % (tedy cca 2,5krát nižší, než letošní), nicméně dopad do schodku veřejných financí bude i tak značný</w:t>
      </w:r>
      <w:r w:rsidR="00F35ABF">
        <w:t>.</w:t>
      </w:r>
    </w:p>
    <w:p w14:paraId="7EBF6590" w14:textId="77777777" w:rsidR="00634E07" w:rsidRDefault="00634E07" w:rsidP="00FA67BA">
      <w:pPr>
        <w:spacing w:line="276" w:lineRule="auto"/>
        <w:rPr>
          <w:b/>
          <w:color w:val="007E79"/>
          <w:sz w:val="20"/>
        </w:rPr>
      </w:pPr>
    </w:p>
    <w:p w14:paraId="2FB25880" w14:textId="39B20D92" w:rsidR="005C60BB" w:rsidRPr="003401BC" w:rsidRDefault="005C60BB" w:rsidP="00FA67BA">
      <w:pPr>
        <w:spacing w:line="276" w:lineRule="auto"/>
        <w:rPr>
          <w:b/>
          <w:color w:val="007E79"/>
          <w:sz w:val="20"/>
        </w:rPr>
      </w:pPr>
      <w:r w:rsidRPr="003401BC">
        <w:rPr>
          <w:b/>
          <w:color w:val="007E79"/>
          <w:sz w:val="20"/>
        </w:rPr>
        <w:t xml:space="preserve">Trh práce </w:t>
      </w:r>
      <w:r>
        <w:rPr>
          <w:b/>
          <w:color w:val="007E79"/>
          <w:sz w:val="20"/>
        </w:rPr>
        <w:t xml:space="preserve">navzdory nárůstu nezaměstnanosti </w:t>
      </w:r>
      <w:r w:rsidRPr="003401BC">
        <w:rPr>
          <w:b/>
          <w:color w:val="007E79"/>
          <w:sz w:val="20"/>
        </w:rPr>
        <w:t>stále napjatý</w:t>
      </w:r>
    </w:p>
    <w:p w14:paraId="67F9E1FE" w14:textId="389802B0" w:rsidR="005C60BB" w:rsidRDefault="00C847EC" w:rsidP="00C71D3C">
      <w:pPr>
        <w:spacing w:line="276" w:lineRule="auto"/>
        <w:rPr>
          <w:noProof/>
        </w:rPr>
      </w:pPr>
      <w:r>
        <w:rPr>
          <w:noProof/>
        </w:rPr>
        <mc:AlternateContent>
          <mc:Choice Requires="wps">
            <w:drawing>
              <wp:anchor distT="45720" distB="45720" distL="114300" distR="114300" simplePos="0" relativeHeight="251691008" behindDoc="0" locked="0" layoutInCell="1" allowOverlap="1" wp14:anchorId="7E93482B" wp14:editId="3FD2AE30">
                <wp:simplePos x="0" y="0"/>
                <wp:positionH relativeFrom="column">
                  <wp:posOffset>15875</wp:posOffset>
                </wp:positionH>
                <wp:positionV relativeFrom="paragraph">
                  <wp:posOffset>1669415</wp:posOffset>
                </wp:positionV>
                <wp:extent cx="6464300" cy="1404620"/>
                <wp:effectExtent l="0" t="0" r="12700" b="1778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0FBF6DD3" w14:textId="22AEA8D0" w:rsidR="00127364" w:rsidRPr="00FA67BA" w:rsidRDefault="00127364">
                            <w:pPr>
                              <w:rPr>
                                <w:b/>
                                <w:bCs/>
                                <w:noProof/>
                              </w:rPr>
                            </w:pPr>
                            <w:r w:rsidRPr="00FA67BA">
                              <w:rPr>
                                <w:b/>
                                <w:bCs/>
                                <w:noProof/>
                              </w:rPr>
                              <w:t>Petr Dufek, ekonom ČSOB:</w:t>
                            </w:r>
                          </w:p>
                          <w:p w14:paraId="12711337" w14:textId="2E342B95" w:rsidR="00127364" w:rsidRDefault="00127364">
                            <w:r w:rsidRPr="00057C8B">
                              <w:rPr>
                                <w:rFonts w:cs="Arial"/>
                                <w:i/>
                                <w:iCs/>
                                <w:color w:val="002142"/>
                                <w:sz w:val="20"/>
                                <w:lang w:eastAsia="en-US"/>
                              </w:rPr>
                              <w:t>„</w:t>
                            </w:r>
                            <w:r w:rsidRPr="00057C8B">
                              <w:rPr>
                                <w:i/>
                                <w:iCs/>
                              </w:rPr>
                              <w:t xml:space="preserve">V letošním roce počítáme s dalším růstem nezaměstnanosti a výrazným zpomalením dosavadního mzdového růstu. Rychlost, s jakou nezaměstnanost poroste se bude ve značné míře odvíjet od pokračování </w:t>
                            </w:r>
                            <w:r w:rsidR="00C33D93">
                              <w:rPr>
                                <w:i/>
                                <w:iCs/>
                              </w:rPr>
                              <w:t>k</w:t>
                            </w:r>
                            <w:r w:rsidRPr="00057C8B">
                              <w:rPr>
                                <w:i/>
                                <w:iCs/>
                              </w:rPr>
                              <w:t>urzarbeitu, který umožňuje firmám udržet zaměstnanost i v čase nízkých objednávek. Situace na trhu práce se obrátí k lepšímu nejdříve až ve druhé polovině příštího roku.“</w:t>
                            </w:r>
                            <w:r>
                              <w:rPr>
                                <w:rStyle w:val="Odkaznakoment"/>
                              </w:rPr>
                              <w:t/>
                            </w:r>
                            <w:r>
                              <w:rPr>
                                <w:rStyle w:val="Odkaznakoment"/>
                              </w:rP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3482B" id="_x0000_t202" coordsize="21600,21600" o:spt="202" path="m,l,21600r21600,l21600,xe">
                <v:stroke joinstyle="miter"/>
                <v:path gradientshapeok="t" o:connecttype="rect"/>
              </v:shapetype>
              <v:shape id="_x0000_s1029" type="#_x0000_t202" style="position:absolute;left:0;text-align:left;margin-left:1.25pt;margin-top:131.45pt;width:509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F+MgIAAFMEAAAOAAAAZHJzL2Uyb0RvYy54bWysVEtu2zAQ3RfoHQjua30iO4lgOUiduiiQ&#10;foCkB6AoyiJKcViStuTeqOfoxTqkHNdI201RLQgOZ/g4896Mljdjr8heWCdBVzSbpZQIzaGRelvR&#10;z4+bV1eUOM90wxRoUdGDcPRm9fLFcjClyKED1QhLEES7cjAV7bw3ZZI43omeuRkYodHZgu2ZR9Nu&#10;k8ayAdF7leRpukgGsI2xwIVzeHo3Oekq4ret4P5j2zrhiaoo5ubjauNahzVZLVm5tcx0kh/TYP+Q&#10;Rc+kxkdPUHfMM7Kz8jeoXnILDlo/49An0LaSi1gDVpOlz6p56JgRsRYkx5kTTe7/wfIP+0+WyKai&#10;eXZJiWY9ivQoRg/7H9+JASVIHkgajCsx9sFgtB9fw4hix4KduQf+xREN647prbi1FoZOsAaTzMLN&#10;5OzqhOMCSD28hwbfYjsPEWhsbR8YRE4IoqNYh5NAmA/heLgoFsVFii6OvqxIi0UeJUxY+XTdWOff&#10;CuhJ2FTUYgdEeLa/dz6kw8qnkPCaAyWbjVQqGnZbr5Ule4bdsolfrOBZmNJkqOj1PJ9PDPwVIo3f&#10;nyB66bHtlewrenUKYmXg7Y1uYlN6JtW0x5SVPhIZuJtY9GM9RuEunvSpoTkgsxamLsepxE0H9hsl&#10;A3Z4Rd3XHbOCEvVOozrXWVGEkYhGMb9EKok999TnHqY5QlXUUzJt1z6OUeTN3KKKGxn5DXJPmRxT&#10;xs6NtB+nLIzGuR2jfv0LVj8BAAD//wMAUEsDBBQABgAIAAAAIQBTFlCd3gAAAAoBAAAPAAAAZHJz&#10;L2Rvd25yZXYueG1sTI9BT8MwDIXvSPyHyEhcJpasrNUoTSeYtBOnlXHPGtNWNE5psq3793gndrLs&#10;9/T8vWI9uV6ccAydJw2LuQKBVHvbUaNh/7l9WoEI0ZA1vSfUcMEA6/L+rjC59Wfa4amKjeAQCrnR&#10;0MY45FKGukVnwtwPSKx9+9GZyOvYSDuaM4e7XiZKZdKZjvhDawbctFj/VEenIfutnmcfX3ZGu8v2&#10;faxdajf7VOvHh+ntFUTEKf6b4YrP6FAy08EfyQbRa0hSNvLIkhcQV10lik8HDcvVcgGyLORthfIP&#10;AAD//wMAUEsBAi0AFAAGAAgAAAAhALaDOJL+AAAA4QEAABMAAAAAAAAAAAAAAAAAAAAAAFtDb250&#10;ZW50X1R5cGVzXS54bWxQSwECLQAUAAYACAAAACEAOP0h/9YAAACUAQAACwAAAAAAAAAAAAAAAAAv&#10;AQAAX3JlbHMvLnJlbHNQSwECLQAUAAYACAAAACEAPM8hfjICAABTBAAADgAAAAAAAAAAAAAAAAAu&#10;AgAAZHJzL2Uyb0RvYy54bWxQSwECLQAUAAYACAAAACEAUxZQnd4AAAAKAQAADwAAAAAAAAAAAAAA&#10;AACMBAAAZHJzL2Rvd25yZXYueG1sUEsFBgAAAAAEAAQA8wAAAJcFAAAAAA==&#10;">
                <v:textbox style="mso-fit-shape-to-text:t">
                  <w:txbxContent>
                    <w:p w14:paraId="0FBF6DD3" w14:textId="22AEA8D0" w:rsidR="00127364" w:rsidRPr="00FA67BA" w:rsidRDefault="00127364">
                      <w:pPr>
                        <w:rPr>
                          <w:b/>
                          <w:bCs/>
                          <w:noProof/>
                        </w:rPr>
                      </w:pPr>
                      <w:r w:rsidRPr="00FA67BA">
                        <w:rPr>
                          <w:b/>
                          <w:bCs/>
                          <w:noProof/>
                        </w:rPr>
                        <w:t>Petr Dufek, ekonom ČSOB:</w:t>
                      </w:r>
                    </w:p>
                    <w:p w14:paraId="12711337" w14:textId="2E342B95" w:rsidR="00127364" w:rsidRDefault="00127364">
                      <w:r w:rsidRPr="00057C8B">
                        <w:rPr>
                          <w:rFonts w:cs="Arial"/>
                          <w:i/>
                          <w:iCs/>
                          <w:color w:val="002142"/>
                          <w:sz w:val="20"/>
                          <w:lang w:eastAsia="en-US"/>
                        </w:rPr>
                        <w:t>„</w:t>
                      </w:r>
                      <w:r w:rsidRPr="00057C8B">
                        <w:rPr>
                          <w:i/>
                          <w:iCs/>
                        </w:rPr>
                        <w:t xml:space="preserve">V letošním roce počítáme s dalším růstem nezaměstnanosti a výrazným zpomalením dosavadního mzdového růstu. Rychlost, s jakou nezaměstnanost poroste se bude ve značné míře odvíjet od pokračování </w:t>
                      </w:r>
                      <w:r w:rsidR="00C33D93">
                        <w:rPr>
                          <w:i/>
                          <w:iCs/>
                        </w:rPr>
                        <w:t>k</w:t>
                      </w:r>
                      <w:r w:rsidRPr="00057C8B">
                        <w:rPr>
                          <w:i/>
                          <w:iCs/>
                        </w:rPr>
                        <w:t>urzarbeitu, který umožňuje firmám udržet zaměstnanost i v čase nízkých objednávek. Situace na trhu práce se obrátí k lepšímu nejdříve až ve druhé polovině příštího roku.“</w:t>
                      </w:r>
                      <w:r>
                        <w:rPr>
                          <w:rStyle w:val="Odkaznakoment"/>
                        </w:rPr>
                        <w:t/>
                      </w:r>
                      <w:r>
                        <w:rPr>
                          <w:rStyle w:val="Odkaznakoment"/>
                        </w:rPr>
                        <w:t/>
                      </w:r>
                    </w:p>
                  </w:txbxContent>
                </v:textbox>
                <w10:wrap type="square"/>
              </v:shape>
            </w:pict>
          </mc:Fallback>
        </mc:AlternateContent>
      </w:r>
      <w:r w:rsidR="00097B97">
        <w:rPr>
          <w:noProof/>
        </w:rPr>
        <w:t xml:space="preserve">Vzhledem k tomu, že na </w:t>
      </w:r>
      <w:r w:rsidR="00CB552A">
        <w:rPr>
          <w:noProof/>
        </w:rPr>
        <w:t>prahu ekon</w:t>
      </w:r>
      <w:r w:rsidR="00405417">
        <w:rPr>
          <w:noProof/>
        </w:rPr>
        <w:t>o</w:t>
      </w:r>
      <w:r w:rsidR="00CB552A">
        <w:rPr>
          <w:noProof/>
        </w:rPr>
        <w:t xml:space="preserve">mické krize byl </w:t>
      </w:r>
      <w:r w:rsidR="00097B97">
        <w:rPr>
          <w:noProof/>
        </w:rPr>
        <w:t>česk</w:t>
      </w:r>
      <w:r w:rsidR="00CB552A">
        <w:rPr>
          <w:noProof/>
        </w:rPr>
        <w:t>ý</w:t>
      </w:r>
      <w:r w:rsidR="00097B97">
        <w:rPr>
          <w:noProof/>
        </w:rPr>
        <w:t xml:space="preserve"> trh práce</w:t>
      </w:r>
      <w:r w:rsidR="00CB552A">
        <w:rPr>
          <w:noProof/>
        </w:rPr>
        <w:t xml:space="preserve"> velmi napjatý, když přetrvával</w:t>
      </w:r>
      <w:r w:rsidR="00097B97">
        <w:rPr>
          <w:noProof/>
        </w:rPr>
        <w:t xml:space="preserve"> historicky nejvyšší</w:t>
      </w:r>
      <w:r w:rsidR="00CB552A">
        <w:rPr>
          <w:noProof/>
        </w:rPr>
        <w:t xml:space="preserve"> </w:t>
      </w:r>
      <w:r w:rsidR="00097B97">
        <w:rPr>
          <w:noProof/>
        </w:rPr>
        <w:t>převis poptávky po pracovní síle nad její disponibilní nabídkou, neočekává prognostický panel krátkodobé</w:t>
      </w:r>
      <w:r w:rsidR="00405417">
        <w:rPr>
          <w:noProof/>
        </w:rPr>
        <w:t xml:space="preserve"> ani</w:t>
      </w:r>
      <w:r w:rsidR="00097B97">
        <w:rPr>
          <w:noProof/>
        </w:rPr>
        <w:t xml:space="preserve"> dramatické změny české míry nezaměstnanosti. I nadále bude</w:t>
      </w:r>
      <w:r w:rsidR="00AD46FA">
        <w:rPr>
          <w:noProof/>
        </w:rPr>
        <w:t xml:space="preserve"> ČR</w:t>
      </w:r>
      <w:r w:rsidR="00097B97">
        <w:rPr>
          <w:noProof/>
        </w:rPr>
        <w:t xml:space="preserve"> v této oblasti jednoznačně patřit k evropským premiantům. To ovšem neznamená, že současná situace se nebude měnit. </w:t>
      </w:r>
      <w:r w:rsidR="00066333">
        <w:rPr>
          <w:noProof/>
        </w:rPr>
        <w:t>Pro letošek naroste míra nezaměstnanosti na 4,4</w:t>
      </w:r>
      <w:r w:rsidR="006C4385">
        <w:rPr>
          <w:noProof/>
        </w:rPr>
        <w:t xml:space="preserve"> %</w:t>
      </w:r>
      <w:r w:rsidR="00066333">
        <w:rPr>
          <w:noProof/>
        </w:rPr>
        <w:t>, na příští rok bankovní analytici očekávají posun na 5,1 %</w:t>
      </w:r>
      <w:r w:rsidR="006C4385">
        <w:rPr>
          <w:noProof/>
        </w:rPr>
        <w:t>,</w:t>
      </w:r>
      <w:r w:rsidR="00066333">
        <w:rPr>
          <w:noProof/>
        </w:rPr>
        <w:t xml:space="preserve"> tedy zhruba na dvojnásobek předkrizové úrovně. </w:t>
      </w:r>
      <w:r w:rsidR="009B7D7F">
        <w:rPr>
          <w:noProof/>
        </w:rPr>
        <w:t xml:space="preserve">Míra nejistoty je ovšem i v tomto ohledu vysoká. </w:t>
      </w:r>
      <w:r w:rsidR="00066333">
        <w:rPr>
          <w:noProof/>
        </w:rPr>
        <w:t>Zhruba od druhé poloviny příštího roku však lze očekávat, že nezaměstnanost začne opět klesat</w:t>
      </w:r>
      <w:r w:rsidR="00405417">
        <w:rPr>
          <w:noProof/>
        </w:rPr>
        <w:t xml:space="preserve"> se zesilujícím oživením</w:t>
      </w:r>
      <w:r w:rsidR="00066333">
        <w:rPr>
          <w:noProof/>
        </w:rPr>
        <w:t xml:space="preserve">. </w:t>
      </w:r>
      <w:r w:rsidR="00C33D93">
        <w:rPr>
          <w:noProof/>
        </w:rPr>
        <w:t xml:space="preserve">Tomu </w:t>
      </w:r>
      <w:r w:rsidR="00066333">
        <w:rPr>
          <w:noProof/>
        </w:rPr>
        <w:t xml:space="preserve">bude </w:t>
      </w:r>
      <w:r w:rsidR="00626382">
        <w:rPr>
          <w:noProof/>
        </w:rPr>
        <w:t>odpovída</w:t>
      </w:r>
      <w:r w:rsidR="00066333">
        <w:rPr>
          <w:noProof/>
        </w:rPr>
        <w:t xml:space="preserve">t i očekávaný vývoj průměrných nominálních mezd – růst o 3,1 % letos a </w:t>
      </w:r>
      <w:r w:rsidR="00C33D93">
        <w:rPr>
          <w:noProof/>
        </w:rPr>
        <w:t xml:space="preserve">o </w:t>
      </w:r>
      <w:r w:rsidR="00066333">
        <w:rPr>
          <w:noProof/>
        </w:rPr>
        <w:t>3 % napřesrok</w:t>
      </w:r>
      <w:r w:rsidR="00626382">
        <w:rPr>
          <w:noProof/>
        </w:rPr>
        <w:t xml:space="preserve"> (a to spíše ve veřejném sektoru)</w:t>
      </w:r>
      <w:r w:rsidR="00C33D93">
        <w:rPr>
          <w:noProof/>
        </w:rPr>
        <w:t>. N</w:t>
      </w:r>
      <w:r w:rsidR="00066333">
        <w:rPr>
          <w:noProof/>
        </w:rPr>
        <w:t>eudržitelná tempa jejich růstu před krizí tak jsou na nějakou dobu minulostí, protože zaměstnanci budou preferovat udržení práce před zvýšením mzdy. Na d</w:t>
      </w:r>
      <w:r w:rsidR="009B7D7F">
        <w:rPr>
          <w:noProof/>
        </w:rPr>
        <w:t>r</w:t>
      </w:r>
      <w:r w:rsidR="00066333">
        <w:rPr>
          <w:noProof/>
        </w:rPr>
        <w:t>uhou stranu nárůst nezaměstnanosti proběhne nejspíše na úkor nejhůře placených skupin zaměstnanců, což průměrnou mzdu ve výsledku paradoxně mírně zvýší.</w:t>
      </w:r>
    </w:p>
    <w:p w14:paraId="2DCA2671" w14:textId="122EFB11" w:rsidR="0029131D" w:rsidRDefault="0029131D" w:rsidP="00C71D3C">
      <w:pPr>
        <w:spacing w:line="276" w:lineRule="auto"/>
        <w:rPr>
          <w:noProof/>
        </w:rPr>
      </w:pPr>
    </w:p>
    <w:p w14:paraId="17B9ABDD" w14:textId="7582086C" w:rsidR="006C6CFF" w:rsidRPr="003401BC" w:rsidRDefault="002D12BD" w:rsidP="00FA67BA">
      <w:pPr>
        <w:spacing w:line="276" w:lineRule="auto"/>
        <w:rPr>
          <w:b/>
        </w:rPr>
      </w:pPr>
      <w:r w:rsidRPr="003401BC">
        <w:rPr>
          <w:b/>
          <w:color w:val="007E79"/>
          <w:sz w:val="20"/>
        </w:rPr>
        <w:t>Veřejné finance</w:t>
      </w:r>
      <w:r w:rsidR="005C60BB">
        <w:rPr>
          <w:b/>
          <w:color w:val="007E79"/>
          <w:sz w:val="20"/>
        </w:rPr>
        <w:t xml:space="preserve">: </w:t>
      </w:r>
      <w:r w:rsidR="0029131D">
        <w:rPr>
          <w:b/>
          <w:color w:val="007E79"/>
          <w:sz w:val="20"/>
        </w:rPr>
        <w:t xml:space="preserve">proběhla </w:t>
      </w:r>
      <w:r w:rsidR="005C60BB">
        <w:rPr>
          <w:b/>
          <w:color w:val="007E79"/>
          <w:sz w:val="20"/>
        </w:rPr>
        <w:t>fiskální expanze</w:t>
      </w:r>
      <w:r w:rsidR="00D63238">
        <w:rPr>
          <w:b/>
          <w:color w:val="007E79"/>
          <w:sz w:val="20"/>
        </w:rPr>
        <w:t>, do budoucnosti je třeba počítat s konsolidací</w:t>
      </w:r>
    </w:p>
    <w:p w14:paraId="676C32A6" w14:textId="05A92A51" w:rsidR="00754744" w:rsidRDefault="00224F0E" w:rsidP="00FA67BA">
      <w:pPr>
        <w:spacing w:line="276" w:lineRule="auto"/>
      </w:pPr>
      <w:r>
        <w:t>Vláda na krizovou situaci zareagovala – obdobně jako vlády v jiných zemích – silnou fiskální expanzí. Schválený schodek veřejných financí ve výši 500 mld. Kč pro letošní rok nemá v ČR historický precedens a oproti v předkrizové situaci zamýšleným 40 mld. Kč se tak vyšplh</w:t>
      </w:r>
      <w:r w:rsidR="00C33D93">
        <w:t>á</w:t>
      </w:r>
      <w:r>
        <w:t xml:space="preserve"> na 12,5násobek. </w:t>
      </w:r>
    </w:p>
    <w:p w14:paraId="7A9F989F" w14:textId="77777777" w:rsidR="00667BA1" w:rsidRDefault="00667BA1" w:rsidP="00FA67BA">
      <w:pPr>
        <w:spacing w:line="276" w:lineRule="auto"/>
      </w:pPr>
    </w:p>
    <w:p w14:paraId="6E7F7619" w14:textId="04FAAE12" w:rsidR="00667BA1" w:rsidRPr="00416A62" w:rsidRDefault="00667BA1" w:rsidP="00FA67BA">
      <w:pPr>
        <w:spacing w:line="276" w:lineRule="auto"/>
      </w:pPr>
      <w:r>
        <w:t>Ve zcela zásadní otázce dopadů, resp. účinnosti přijatých opatření na podporu ekonomiky</w:t>
      </w:r>
      <w:r w:rsidR="0029131D">
        <w:t>,</w:t>
      </w:r>
      <w:r>
        <w:t xml:space="preserve"> bude jasněji také s odstupem. Co ale lze odhadnout již nyní, je nárůst schodku veřejných financí, který prognostický panel ČBA pro letošek odhaduje na 8,2 % HDP a na rok 2021 na stále vysokých 4,5 % HDP. Ve výsledku by se tak veřejný dluh v roce 2020 ocitl na 39,5 % a v roce 2021 by se dostal až k 42,3 % HDP.</w:t>
      </w:r>
      <w:r w:rsidR="00420888">
        <w:t xml:space="preserve"> </w:t>
      </w:r>
      <w:r w:rsidR="007E4AA4">
        <w:t>V</w:t>
      </w:r>
      <w:r w:rsidR="00420888">
        <w:t> rámci EU bude</w:t>
      </w:r>
      <w:r w:rsidR="007E4AA4">
        <w:t xml:space="preserve"> český veřejný dluh </w:t>
      </w:r>
      <w:r w:rsidR="00420888">
        <w:t xml:space="preserve">po krizi </w:t>
      </w:r>
      <w:r w:rsidR="007E4AA4">
        <w:t xml:space="preserve">stále </w:t>
      </w:r>
      <w:r w:rsidR="00420888">
        <w:t xml:space="preserve">patřit k nižším hodnotám, rychlost nárůstu schodku je </w:t>
      </w:r>
      <w:r w:rsidR="007E4AA4">
        <w:t xml:space="preserve">však třeba vidět v </w:t>
      </w:r>
      <w:r w:rsidR="00420888">
        <w:t xml:space="preserve">kombinaci </w:t>
      </w:r>
      <w:r w:rsidR="007E4AA4">
        <w:t xml:space="preserve">s rozpočtovými dopady na péči o </w:t>
      </w:r>
      <w:r w:rsidR="00420888">
        <w:t>stárnoucí populac</w:t>
      </w:r>
      <w:r w:rsidR="007E4AA4">
        <w:t>i a se</w:t>
      </w:r>
      <w:r w:rsidR="00420888">
        <w:t xml:space="preserve"> stále nedořešen</w:t>
      </w:r>
      <w:r w:rsidR="007E4AA4">
        <w:t>ými přístupy</w:t>
      </w:r>
      <w:r w:rsidR="00420888">
        <w:t xml:space="preserve"> </w:t>
      </w:r>
      <w:r w:rsidR="007E4AA4">
        <w:t xml:space="preserve">k </w:t>
      </w:r>
      <w:r w:rsidR="00420888">
        <w:t>penzijní reform</w:t>
      </w:r>
      <w:r w:rsidR="007E4AA4">
        <w:t xml:space="preserve">ě. </w:t>
      </w:r>
      <w:r w:rsidR="00420888">
        <w:t>Náraz na dluhovou brzdu (stanovenou v legislativě na úrovni 55 % HDP) by bez včas přijatých opatření mohl přijít v tu nejméně vhodnou chvíli.</w:t>
      </w:r>
    </w:p>
    <w:p w14:paraId="77CC883E" w14:textId="77777777" w:rsidR="00754744" w:rsidRPr="00416A62" w:rsidRDefault="00754744" w:rsidP="00FA67BA">
      <w:pPr>
        <w:spacing w:line="276" w:lineRule="auto"/>
        <w:rPr>
          <w:highlight w:val="yellow"/>
        </w:rPr>
      </w:pPr>
    </w:p>
    <w:p w14:paraId="55C3D391" w14:textId="795EF985" w:rsidR="006C6CFF" w:rsidRPr="003401BC" w:rsidRDefault="00763B48" w:rsidP="00FA67BA">
      <w:pPr>
        <w:spacing w:line="276" w:lineRule="auto"/>
        <w:rPr>
          <w:b/>
          <w:color w:val="007E79"/>
          <w:sz w:val="20"/>
        </w:rPr>
      </w:pPr>
      <w:r>
        <w:rPr>
          <w:b/>
          <w:color w:val="007E79"/>
          <w:sz w:val="20"/>
        </w:rPr>
        <w:t xml:space="preserve">Centrální banka </w:t>
      </w:r>
      <w:r w:rsidR="00630B2D">
        <w:rPr>
          <w:b/>
          <w:color w:val="007E79"/>
          <w:sz w:val="20"/>
        </w:rPr>
        <w:t>reagovala na situaci adekvátně</w:t>
      </w:r>
      <w:r w:rsidR="002D12BD" w:rsidRPr="003401BC">
        <w:rPr>
          <w:b/>
          <w:color w:val="007E79"/>
          <w:sz w:val="20"/>
        </w:rPr>
        <w:t xml:space="preserve"> </w:t>
      </w:r>
    </w:p>
    <w:p w14:paraId="258B4724" w14:textId="00441F92" w:rsidR="0029131D" w:rsidRDefault="002E732D" w:rsidP="00C71D3C">
      <w:pPr>
        <w:spacing w:line="276" w:lineRule="auto"/>
      </w:pPr>
      <w:r>
        <w:t>Reakc</w:t>
      </w:r>
      <w:r w:rsidR="006952F0">
        <w:t>i</w:t>
      </w:r>
      <w:r>
        <w:t xml:space="preserve"> měnové politiky na hospodářské zpomalení</w:t>
      </w:r>
      <w:r w:rsidR="00C33D93">
        <w:t xml:space="preserve">, </w:t>
      </w:r>
      <w:r>
        <w:t xml:space="preserve">vyvolané </w:t>
      </w:r>
      <w:r w:rsidR="00006087">
        <w:t xml:space="preserve">hospodářskými dopady </w:t>
      </w:r>
      <w:r w:rsidR="006952F0">
        <w:t xml:space="preserve">epidemiologických </w:t>
      </w:r>
      <w:r w:rsidR="00006087">
        <w:t xml:space="preserve">restrikcí </w:t>
      </w:r>
      <w:r w:rsidR="00BD7B5A">
        <w:t>považují bankovní analytici</w:t>
      </w:r>
      <w:r w:rsidR="006952F0">
        <w:t xml:space="preserve"> z</w:t>
      </w:r>
      <w:r w:rsidR="00BD7B5A">
        <w:t>a dobře načasovanou a adekvátní,</w:t>
      </w:r>
      <w:r w:rsidR="00C33D93">
        <w:t xml:space="preserve"> když došlo ke</w:t>
      </w:r>
      <w:r w:rsidR="00BD7B5A">
        <w:t xml:space="preserve"> snížení měnově-politické sazby na 0,</w:t>
      </w:r>
      <w:r w:rsidR="00EB36AD">
        <w:t>2</w:t>
      </w:r>
      <w:r w:rsidR="00BD7B5A">
        <w:t>5 %</w:t>
      </w:r>
      <w:r w:rsidR="00C33D93">
        <w:t xml:space="preserve">. Totéž se týká i opatření na úseku finanční stability, a to jak </w:t>
      </w:r>
      <w:r w:rsidR="00763B48">
        <w:t>snížení sazby</w:t>
      </w:r>
      <w:r w:rsidR="00C33D93">
        <w:t xml:space="preserve"> </w:t>
      </w:r>
      <w:r w:rsidR="00763B48">
        <w:t>proticyklické</w:t>
      </w:r>
      <w:r w:rsidR="00BD7B5A">
        <w:t xml:space="preserve"> kapitálov</w:t>
      </w:r>
      <w:r w:rsidR="00763B48">
        <w:t>é sazby, tak</w:t>
      </w:r>
      <w:r w:rsidR="00BD7B5A">
        <w:t xml:space="preserve"> </w:t>
      </w:r>
      <w:r w:rsidR="00763B48">
        <w:t xml:space="preserve">upravených </w:t>
      </w:r>
      <w:r w:rsidR="00BD7B5A">
        <w:t xml:space="preserve">doporučení pro poskytování hypotečních úvěrů. Inflační očekávání panelu pro konec letošního roku míří ke 2,5 % (s průměrnou inflací na úrovni 3 %) a pro rok příští na konečných 2,1 % (při průměrných 1,9 %), </w:t>
      </w:r>
      <w:r w:rsidR="00763B48">
        <w:t>tedy</w:t>
      </w:r>
      <w:r w:rsidR="00BD7B5A">
        <w:t xml:space="preserve"> </w:t>
      </w:r>
      <w:r w:rsidR="00630B2D">
        <w:t xml:space="preserve">blízko </w:t>
      </w:r>
      <w:r w:rsidR="00763B48">
        <w:t>vymezeného</w:t>
      </w:r>
      <w:r w:rsidR="00BD7B5A">
        <w:t xml:space="preserve"> inflačního cíle. Proto prognostick</w:t>
      </w:r>
      <w:r w:rsidR="00EB36AD">
        <w:t>ý</w:t>
      </w:r>
      <w:r w:rsidR="00BD7B5A">
        <w:t xml:space="preserve"> panel již do konce letošního roku další snížení 2týdenní repo sazby neočekává, odhad </w:t>
      </w:r>
      <w:r w:rsidR="00EB36AD">
        <w:t xml:space="preserve">na příští rok vzhledem k očekávanému </w:t>
      </w:r>
      <w:r w:rsidR="004B74EC">
        <w:t>oživení,</w:t>
      </w:r>
      <w:r w:rsidR="00EB36AD">
        <w:t xml:space="preserve"> a tudíž nárůstu inflačních tlaků na horizontu měnové politiky míří o něco výše </w:t>
      </w:r>
      <w:r w:rsidR="00AE3164">
        <w:t xml:space="preserve">v rozmezí </w:t>
      </w:r>
      <w:r w:rsidR="00EB36AD">
        <w:t>0,</w:t>
      </w:r>
      <w:r w:rsidR="00AE3164">
        <w:t xml:space="preserve">25 </w:t>
      </w:r>
      <w:r w:rsidR="00630B2D">
        <w:t xml:space="preserve">% </w:t>
      </w:r>
      <w:r w:rsidR="00AE3164">
        <w:t>-</w:t>
      </w:r>
      <w:r w:rsidR="00153D1F">
        <w:t xml:space="preserve"> </w:t>
      </w:r>
      <w:r w:rsidR="00AE3164">
        <w:t>0,5</w:t>
      </w:r>
      <w:r w:rsidR="00EB36AD">
        <w:t xml:space="preserve"> % na konci roku. </w:t>
      </w:r>
    </w:p>
    <w:p w14:paraId="4603AAAE" w14:textId="77777777" w:rsidR="0029131D" w:rsidRDefault="0029131D" w:rsidP="00C71D3C">
      <w:pPr>
        <w:spacing w:line="276" w:lineRule="auto"/>
      </w:pPr>
    </w:p>
    <w:p w14:paraId="59792C83" w14:textId="3D0EC80D" w:rsidR="0035571B" w:rsidRPr="003401BC" w:rsidRDefault="00EB36AD" w:rsidP="00FA67BA">
      <w:pPr>
        <w:spacing w:line="276" w:lineRule="auto"/>
      </w:pPr>
      <w:r>
        <w:t>Co se měnového kurzu</w:t>
      </w:r>
      <w:r w:rsidR="00D13645" w:rsidRPr="003401BC">
        <w:t xml:space="preserve"> </w:t>
      </w:r>
      <w:r w:rsidR="0029131D">
        <w:t>týče</w:t>
      </w:r>
      <w:r>
        <w:t>, pro letošní rok jej bankovní analytici očekávají poblíž stávajících úrovní na 26,43 Kč/EUR s tendencí k mírnému zpevnění na průměr příštího roku kolem 25,86 Kč/EUR.</w:t>
      </w:r>
    </w:p>
    <w:p w14:paraId="50CE9403" w14:textId="77777777" w:rsidR="0035571B" w:rsidRPr="003401BC" w:rsidRDefault="0035571B" w:rsidP="00FA67BA">
      <w:pPr>
        <w:spacing w:line="276" w:lineRule="auto"/>
      </w:pPr>
    </w:p>
    <w:p w14:paraId="2A805259" w14:textId="77777777" w:rsidR="00763B48" w:rsidRPr="00FA67BA" w:rsidRDefault="00630B2D">
      <w:pPr>
        <w:spacing w:line="276" w:lineRule="auto"/>
        <w:rPr>
          <w:b/>
          <w:color w:val="007E79"/>
          <w:sz w:val="20"/>
        </w:rPr>
      </w:pPr>
      <w:r w:rsidRPr="00FA67BA">
        <w:rPr>
          <w:b/>
          <w:color w:val="007E79"/>
          <w:sz w:val="20"/>
        </w:rPr>
        <w:t>Vklady na účtech, jakožto i počty a objemy úvěrů budou nadále růst</w:t>
      </w:r>
    </w:p>
    <w:p w14:paraId="6364A713" w14:textId="0FA8491D" w:rsidR="0035571B" w:rsidRDefault="00763B48" w:rsidP="00FA67BA">
      <w:pPr>
        <w:spacing w:line="276" w:lineRule="auto"/>
      </w:pPr>
      <w:r>
        <w:t>Ú</w:t>
      </w:r>
      <w:r w:rsidR="00EB36AD">
        <w:t xml:space="preserve">věrová emise </w:t>
      </w:r>
      <w:r>
        <w:t xml:space="preserve">bude </w:t>
      </w:r>
      <w:r w:rsidR="00EB36AD">
        <w:t xml:space="preserve">v letošním i </w:t>
      </w:r>
      <w:r>
        <w:t xml:space="preserve">v </w:t>
      </w:r>
      <w:r w:rsidR="00EB36AD">
        <w:t>příštím roce pokračovat poměrně solidními čísly: očekávaná meziroční tempa růstu jsou 4,1 % (resp. 4 % napřesrok) u klientských úvěrů celkem, přičemž u bankovních úvěrů domácnostem oč</w:t>
      </w:r>
      <w:r w:rsidR="00156EF2">
        <w:t>e</w:t>
      </w:r>
      <w:r w:rsidR="00EB36AD">
        <w:t>kávají</w:t>
      </w:r>
      <w:r w:rsidR="00156EF2">
        <w:t xml:space="preserve"> bankovní analytici 5,4</w:t>
      </w:r>
      <w:r>
        <w:t xml:space="preserve"> %</w:t>
      </w:r>
      <w:r w:rsidR="00156EF2">
        <w:t xml:space="preserve"> resp. 4,8% růst. Bankovní úvěry firemní klientele porostou o něco pomaleji, tedy o 3,5 % letos a </w:t>
      </w:r>
      <w:r>
        <w:t xml:space="preserve">o </w:t>
      </w:r>
      <w:r w:rsidR="00156EF2">
        <w:t xml:space="preserve">3,9 % napřesrok. </w:t>
      </w:r>
      <w:r w:rsidR="00156EF2">
        <w:lastRenderedPageBreak/>
        <w:t>Konzervativnost českých střadatelů pak odráží i očekávaný nárůst celkových vkladů pro letošek</w:t>
      </w:r>
      <w:r>
        <w:t xml:space="preserve"> o</w:t>
      </w:r>
      <w:r w:rsidR="00156EF2">
        <w:t xml:space="preserve"> 9 % a pro příští rok stále </w:t>
      </w:r>
      <w:r>
        <w:t xml:space="preserve">o </w:t>
      </w:r>
      <w:r w:rsidR="00156EF2">
        <w:t>solidních 5 %.</w:t>
      </w:r>
    </w:p>
    <w:p w14:paraId="4609A47E" w14:textId="77777777" w:rsidR="00634E07" w:rsidRDefault="00634E07" w:rsidP="00FA67BA">
      <w:pPr>
        <w:spacing w:line="276" w:lineRule="auto"/>
      </w:pPr>
    </w:p>
    <w:p w14:paraId="5B66FEF5" w14:textId="76F502CF" w:rsidR="00C93158" w:rsidRDefault="00C93158" w:rsidP="00FA67BA">
      <w:pPr>
        <w:spacing w:line="276" w:lineRule="auto"/>
        <w:rPr>
          <w:b/>
          <w:color w:val="007E79"/>
          <w:sz w:val="20"/>
        </w:rPr>
      </w:pPr>
      <w:r w:rsidRPr="003401BC">
        <w:rPr>
          <w:b/>
          <w:color w:val="007E79"/>
          <w:sz w:val="20"/>
        </w:rPr>
        <w:t>Prognózy růstu reálného HDP: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948"/>
        <w:gridCol w:w="1843"/>
      </w:tblGrid>
      <w:tr w:rsidR="002E732D" w:rsidRPr="00791240" w14:paraId="3241496F" w14:textId="497E938D" w:rsidTr="00E01CBE">
        <w:trPr>
          <w:trHeight w:val="257"/>
        </w:trPr>
        <w:tc>
          <w:tcPr>
            <w:tcW w:w="6274" w:type="dxa"/>
            <w:shd w:val="clear" w:color="auto" w:fill="007E79"/>
          </w:tcPr>
          <w:p w14:paraId="194FECE0" w14:textId="77777777" w:rsidR="002E732D" w:rsidRPr="00791240" w:rsidRDefault="002E732D" w:rsidP="00FA67BA">
            <w:pPr>
              <w:autoSpaceDE/>
              <w:autoSpaceDN/>
              <w:adjustRightInd/>
              <w:spacing w:line="276" w:lineRule="auto"/>
              <w:textAlignment w:val="auto"/>
              <w:rPr>
                <w:rFonts w:cs="Arial"/>
                <w:b/>
                <w:color w:val="FFFFFF"/>
                <w:sz w:val="20"/>
                <w:szCs w:val="18"/>
              </w:rPr>
            </w:pPr>
            <w:r w:rsidRPr="0065675B">
              <w:rPr>
                <w:rFonts w:ascii="Calibri" w:hAnsi="Calibri" w:cs="Calibri"/>
                <w:b/>
                <w:bCs/>
                <w:color w:val="FFFFFF" w:themeColor="light1"/>
                <w:kern w:val="24"/>
                <w:sz w:val="20"/>
              </w:rPr>
              <w:t>Instituce (+ nejaktuálnější prognóza)</w:t>
            </w:r>
          </w:p>
        </w:tc>
        <w:tc>
          <w:tcPr>
            <w:tcW w:w="1948" w:type="dxa"/>
            <w:shd w:val="clear" w:color="auto" w:fill="007E79"/>
          </w:tcPr>
          <w:p w14:paraId="4F275052" w14:textId="77777777" w:rsidR="002E732D" w:rsidRPr="00791240" w:rsidRDefault="002E732D" w:rsidP="00FA67BA">
            <w:pPr>
              <w:spacing w:line="276" w:lineRule="auto"/>
              <w:rPr>
                <w:rFonts w:cs="Arial"/>
                <w:b/>
                <w:color w:val="FFFFFF"/>
                <w:sz w:val="20"/>
                <w:szCs w:val="18"/>
              </w:rPr>
            </w:pPr>
            <w:r>
              <w:rPr>
                <w:rFonts w:cs="Arial"/>
                <w:b/>
                <w:color w:val="FFFFFF"/>
                <w:sz w:val="20"/>
                <w:szCs w:val="18"/>
              </w:rPr>
              <w:t>2020</w:t>
            </w:r>
          </w:p>
        </w:tc>
        <w:tc>
          <w:tcPr>
            <w:tcW w:w="1843" w:type="dxa"/>
            <w:shd w:val="clear" w:color="auto" w:fill="007E79"/>
          </w:tcPr>
          <w:p w14:paraId="17EF59AC" w14:textId="4A3801D8" w:rsidR="002E732D" w:rsidRDefault="002E732D" w:rsidP="00FA67BA">
            <w:pPr>
              <w:spacing w:line="276" w:lineRule="auto"/>
              <w:rPr>
                <w:rFonts w:cs="Arial"/>
                <w:b/>
                <w:color w:val="FFFFFF"/>
                <w:sz w:val="20"/>
                <w:szCs w:val="18"/>
              </w:rPr>
            </w:pPr>
            <w:r>
              <w:rPr>
                <w:rFonts w:cs="Arial"/>
                <w:b/>
                <w:color w:val="FFFFFF"/>
                <w:sz w:val="20"/>
                <w:szCs w:val="18"/>
              </w:rPr>
              <w:t>2021</w:t>
            </w:r>
          </w:p>
        </w:tc>
      </w:tr>
      <w:tr w:rsidR="002E732D" w:rsidRPr="00251963" w14:paraId="48CA0C97" w14:textId="544FDFF8" w:rsidTr="00E01CBE">
        <w:trPr>
          <w:trHeight w:val="257"/>
        </w:trPr>
        <w:tc>
          <w:tcPr>
            <w:tcW w:w="6274" w:type="dxa"/>
            <w:shd w:val="clear" w:color="auto" w:fill="auto"/>
          </w:tcPr>
          <w:p w14:paraId="0DAAF388" w14:textId="4A4955F4" w:rsidR="002E732D" w:rsidRPr="00251963" w:rsidRDefault="002E732D" w:rsidP="00FA67BA">
            <w:pPr>
              <w:spacing w:line="276" w:lineRule="auto"/>
              <w:rPr>
                <w:rFonts w:cs="Arial"/>
                <w:sz w:val="20"/>
                <w:szCs w:val="18"/>
              </w:rPr>
            </w:pPr>
            <w:r w:rsidRPr="00251963">
              <w:rPr>
                <w:rFonts w:cs="Arial"/>
                <w:sz w:val="20"/>
                <w:szCs w:val="18"/>
              </w:rPr>
              <w:t xml:space="preserve">ČNB (prognóza </w:t>
            </w:r>
            <w:r w:rsidR="009C63C2">
              <w:rPr>
                <w:rFonts w:cs="Arial"/>
                <w:sz w:val="20"/>
                <w:szCs w:val="18"/>
              </w:rPr>
              <w:t>květen</w:t>
            </w:r>
            <w:r w:rsidRPr="00251963">
              <w:rPr>
                <w:rFonts w:cs="Arial"/>
                <w:sz w:val="20"/>
                <w:szCs w:val="18"/>
              </w:rPr>
              <w:t xml:space="preserve"> 20</w:t>
            </w:r>
            <w:r>
              <w:rPr>
                <w:rFonts w:cs="Arial"/>
                <w:sz w:val="20"/>
                <w:szCs w:val="18"/>
              </w:rPr>
              <w:t>20</w:t>
            </w:r>
            <w:r w:rsidRPr="00251963">
              <w:rPr>
                <w:rFonts w:cs="Arial"/>
                <w:sz w:val="20"/>
                <w:szCs w:val="18"/>
              </w:rPr>
              <w:t xml:space="preserve">)           </w:t>
            </w:r>
          </w:p>
        </w:tc>
        <w:tc>
          <w:tcPr>
            <w:tcW w:w="1948" w:type="dxa"/>
          </w:tcPr>
          <w:p w14:paraId="1B3B30C1" w14:textId="00B75497" w:rsidR="002E732D" w:rsidRPr="009C63C2" w:rsidRDefault="009C63C2" w:rsidP="00FA67BA">
            <w:pPr>
              <w:pStyle w:val="Odstavecseseznamem"/>
              <w:numPr>
                <w:ilvl w:val="0"/>
                <w:numId w:val="9"/>
              </w:numPr>
              <w:spacing w:line="276" w:lineRule="auto"/>
              <w:ind w:right="300"/>
              <w:jc w:val="right"/>
              <w:rPr>
                <w:rFonts w:cs="Arial"/>
                <w:sz w:val="20"/>
                <w:szCs w:val="18"/>
              </w:rPr>
            </w:pPr>
            <w:r>
              <w:rPr>
                <w:rFonts w:cs="Arial"/>
                <w:sz w:val="20"/>
                <w:szCs w:val="18"/>
              </w:rPr>
              <w:t xml:space="preserve">8,0 </w:t>
            </w:r>
            <w:r w:rsidR="002E732D" w:rsidRPr="009C63C2">
              <w:rPr>
                <w:rFonts w:cs="Arial"/>
                <w:sz w:val="20"/>
                <w:szCs w:val="18"/>
              </w:rPr>
              <w:t>%</w:t>
            </w:r>
          </w:p>
        </w:tc>
        <w:tc>
          <w:tcPr>
            <w:tcW w:w="1843" w:type="dxa"/>
          </w:tcPr>
          <w:p w14:paraId="175007AF" w14:textId="179D9254" w:rsidR="002E732D" w:rsidRDefault="009C63C2" w:rsidP="00FA67BA">
            <w:pPr>
              <w:spacing w:line="276" w:lineRule="auto"/>
              <w:jc w:val="right"/>
              <w:rPr>
                <w:rFonts w:cs="Arial"/>
                <w:sz w:val="20"/>
                <w:szCs w:val="18"/>
              </w:rPr>
            </w:pPr>
            <w:r>
              <w:rPr>
                <w:rFonts w:cs="Arial"/>
                <w:sz w:val="20"/>
                <w:szCs w:val="18"/>
              </w:rPr>
              <w:t>4,0</w:t>
            </w:r>
            <w:r w:rsidR="002E732D">
              <w:rPr>
                <w:rFonts w:cs="Arial"/>
                <w:sz w:val="20"/>
                <w:szCs w:val="18"/>
              </w:rPr>
              <w:t xml:space="preserve"> %</w:t>
            </w:r>
          </w:p>
        </w:tc>
      </w:tr>
      <w:tr w:rsidR="002E732D" w:rsidRPr="00251963" w14:paraId="36CF2337" w14:textId="74438F33" w:rsidTr="00E01CBE">
        <w:trPr>
          <w:trHeight w:val="257"/>
        </w:trPr>
        <w:tc>
          <w:tcPr>
            <w:tcW w:w="6274" w:type="dxa"/>
            <w:shd w:val="clear" w:color="auto" w:fill="auto"/>
          </w:tcPr>
          <w:p w14:paraId="0A51EAB4" w14:textId="0A1D99CE" w:rsidR="002E732D" w:rsidRPr="00251963" w:rsidRDefault="002E732D" w:rsidP="00FA67BA">
            <w:pPr>
              <w:spacing w:line="276" w:lineRule="auto"/>
              <w:rPr>
                <w:rFonts w:cs="Arial"/>
                <w:sz w:val="20"/>
                <w:szCs w:val="18"/>
              </w:rPr>
            </w:pPr>
            <w:r w:rsidRPr="00251963">
              <w:rPr>
                <w:rFonts w:cs="Arial"/>
                <w:sz w:val="20"/>
                <w:szCs w:val="18"/>
              </w:rPr>
              <w:t>Ministerstvo financí ČR (</w:t>
            </w:r>
            <w:r>
              <w:rPr>
                <w:rFonts w:cs="Arial"/>
                <w:sz w:val="20"/>
                <w:szCs w:val="18"/>
              </w:rPr>
              <w:t>makroekonomická predikce duben</w:t>
            </w:r>
            <w:r w:rsidRPr="00251963">
              <w:rPr>
                <w:rFonts w:cs="Arial"/>
                <w:sz w:val="20"/>
                <w:szCs w:val="18"/>
              </w:rPr>
              <w:t xml:space="preserve"> 20</w:t>
            </w:r>
            <w:r>
              <w:rPr>
                <w:rFonts w:cs="Arial"/>
                <w:sz w:val="20"/>
                <w:szCs w:val="18"/>
              </w:rPr>
              <w:t>20</w:t>
            </w:r>
            <w:r w:rsidRPr="00251963">
              <w:rPr>
                <w:rFonts w:cs="Arial"/>
                <w:sz w:val="20"/>
                <w:szCs w:val="18"/>
              </w:rPr>
              <w:t xml:space="preserve">)             </w:t>
            </w:r>
          </w:p>
        </w:tc>
        <w:tc>
          <w:tcPr>
            <w:tcW w:w="1948" w:type="dxa"/>
          </w:tcPr>
          <w:p w14:paraId="07D5F971" w14:textId="60EB616A" w:rsidR="002E732D" w:rsidRPr="009C63C2" w:rsidRDefault="009C63C2" w:rsidP="00FA67BA">
            <w:pPr>
              <w:pStyle w:val="Odstavecseseznamem"/>
              <w:numPr>
                <w:ilvl w:val="0"/>
                <w:numId w:val="8"/>
              </w:numPr>
              <w:spacing w:line="276" w:lineRule="auto"/>
              <w:ind w:right="300"/>
              <w:jc w:val="right"/>
              <w:rPr>
                <w:rFonts w:cs="Arial"/>
                <w:sz w:val="20"/>
                <w:szCs w:val="18"/>
              </w:rPr>
            </w:pPr>
            <w:r>
              <w:rPr>
                <w:rFonts w:cs="Arial"/>
                <w:sz w:val="20"/>
                <w:szCs w:val="18"/>
              </w:rPr>
              <w:t>5,6 %</w:t>
            </w:r>
          </w:p>
        </w:tc>
        <w:tc>
          <w:tcPr>
            <w:tcW w:w="1843" w:type="dxa"/>
          </w:tcPr>
          <w:p w14:paraId="5ED9946E" w14:textId="2B03F43C" w:rsidR="002E732D" w:rsidRPr="00251963" w:rsidRDefault="009C63C2" w:rsidP="00FA67BA">
            <w:pPr>
              <w:spacing w:line="276" w:lineRule="auto"/>
              <w:jc w:val="right"/>
              <w:rPr>
                <w:rFonts w:cs="Arial"/>
                <w:sz w:val="20"/>
                <w:szCs w:val="18"/>
              </w:rPr>
            </w:pPr>
            <w:r>
              <w:rPr>
                <w:rFonts w:cs="Arial"/>
                <w:sz w:val="20"/>
                <w:szCs w:val="18"/>
              </w:rPr>
              <w:t>3,1</w:t>
            </w:r>
            <w:r w:rsidR="002E732D">
              <w:rPr>
                <w:rFonts w:cs="Arial"/>
                <w:sz w:val="20"/>
                <w:szCs w:val="18"/>
              </w:rPr>
              <w:t xml:space="preserve"> %</w:t>
            </w:r>
          </w:p>
        </w:tc>
      </w:tr>
      <w:tr w:rsidR="002E732D" w:rsidRPr="00251963" w14:paraId="1841127B" w14:textId="5C20385F" w:rsidTr="00E01CBE">
        <w:trPr>
          <w:trHeight w:val="257"/>
        </w:trPr>
        <w:tc>
          <w:tcPr>
            <w:tcW w:w="6274" w:type="dxa"/>
            <w:shd w:val="clear" w:color="auto" w:fill="auto"/>
          </w:tcPr>
          <w:p w14:paraId="4386D38A" w14:textId="090C498F" w:rsidR="002E732D" w:rsidRPr="00251963" w:rsidRDefault="002E732D" w:rsidP="00FA67BA">
            <w:pPr>
              <w:spacing w:line="276" w:lineRule="auto"/>
              <w:rPr>
                <w:rFonts w:cs="Arial"/>
                <w:sz w:val="20"/>
                <w:szCs w:val="18"/>
              </w:rPr>
            </w:pPr>
            <w:r w:rsidRPr="00251963">
              <w:rPr>
                <w:rFonts w:cs="Arial"/>
                <w:sz w:val="20"/>
                <w:szCs w:val="18"/>
              </w:rPr>
              <w:t>MMF (</w:t>
            </w:r>
            <w:r>
              <w:rPr>
                <w:rFonts w:cs="Arial"/>
                <w:sz w:val="20"/>
                <w:szCs w:val="18"/>
              </w:rPr>
              <w:t>World Economic Outlook,</w:t>
            </w:r>
            <w:r w:rsidRPr="00251963">
              <w:rPr>
                <w:rFonts w:cs="Arial"/>
                <w:sz w:val="20"/>
                <w:szCs w:val="18"/>
              </w:rPr>
              <w:t xml:space="preserve"> </w:t>
            </w:r>
            <w:r w:rsidR="00006087">
              <w:rPr>
                <w:rFonts w:cs="Arial"/>
                <w:sz w:val="20"/>
                <w:szCs w:val="18"/>
              </w:rPr>
              <w:t>duben</w:t>
            </w:r>
            <w:r w:rsidRPr="00251963">
              <w:rPr>
                <w:rFonts w:cs="Arial"/>
                <w:sz w:val="20"/>
                <w:szCs w:val="18"/>
              </w:rPr>
              <w:t xml:space="preserve"> 20</w:t>
            </w:r>
            <w:r w:rsidR="00006087">
              <w:rPr>
                <w:rFonts w:cs="Arial"/>
                <w:sz w:val="20"/>
                <w:szCs w:val="18"/>
              </w:rPr>
              <w:t>20</w:t>
            </w:r>
            <w:r w:rsidRPr="00251963">
              <w:rPr>
                <w:rFonts w:cs="Arial"/>
                <w:sz w:val="20"/>
                <w:szCs w:val="18"/>
              </w:rPr>
              <w:t xml:space="preserve">)    </w:t>
            </w:r>
          </w:p>
        </w:tc>
        <w:tc>
          <w:tcPr>
            <w:tcW w:w="1948" w:type="dxa"/>
          </w:tcPr>
          <w:p w14:paraId="6D6008DE" w14:textId="0A15D15F" w:rsidR="002E732D" w:rsidRPr="00006087" w:rsidRDefault="00006087" w:rsidP="00FA67BA">
            <w:pPr>
              <w:pStyle w:val="Odstavecseseznamem"/>
              <w:numPr>
                <w:ilvl w:val="0"/>
                <w:numId w:val="8"/>
              </w:numPr>
              <w:spacing w:line="276" w:lineRule="auto"/>
              <w:ind w:right="300"/>
              <w:jc w:val="right"/>
              <w:rPr>
                <w:rFonts w:cs="Arial"/>
                <w:sz w:val="20"/>
                <w:szCs w:val="18"/>
              </w:rPr>
            </w:pPr>
            <w:r w:rsidRPr="00006087">
              <w:rPr>
                <w:rFonts w:cs="Arial"/>
                <w:sz w:val="20"/>
                <w:szCs w:val="18"/>
              </w:rPr>
              <w:t>6,5</w:t>
            </w:r>
            <w:r w:rsidR="002E732D" w:rsidRPr="00006087">
              <w:rPr>
                <w:rFonts w:cs="Arial"/>
                <w:sz w:val="20"/>
                <w:szCs w:val="18"/>
              </w:rPr>
              <w:t xml:space="preserve"> %</w:t>
            </w:r>
          </w:p>
        </w:tc>
        <w:tc>
          <w:tcPr>
            <w:tcW w:w="1843" w:type="dxa"/>
          </w:tcPr>
          <w:p w14:paraId="5B1F6A61" w14:textId="43028A62" w:rsidR="002E732D" w:rsidRPr="00251963" w:rsidRDefault="00006087" w:rsidP="00FA67BA">
            <w:pPr>
              <w:spacing w:line="276" w:lineRule="auto"/>
              <w:jc w:val="right"/>
              <w:rPr>
                <w:rFonts w:cs="Arial"/>
                <w:sz w:val="20"/>
                <w:szCs w:val="18"/>
              </w:rPr>
            </w:pPr>
            <w:r>
              <w:rPr>
                <w:rFonts w:cs="Arial"/>
                <w:sz w:val="20"/>
                <w:szCs w:val="18"/>
              </w:rPr>
              <w:t>7,5</w:t>
            </w:r>
            <w:r w:rsidR="002E732D">
              <w:rPr>
                <w:rFonts w:cs="Arial"/>
                <w:sz w:val="20"/>
                <w:szCs w:val="18"/>
              </w:rPr>
              <w:t xml:space="preserve"> %</w:t>
            </w:r>
          </w:p>
        </w:tc>
      </w:tr>
      <w:tr w:rsidR="002E732D" w:rsidRPr="00251963" w14:paraId="136774CF" w14:textId="77777777" w:rsidTr="00E01CBE">
        <w:trPr>
          <w:trHeight w:val="257"/>
        </w:trPr>
        <w:tc>
          <w:tcPr>
            <w:tcW w:w="6274" w:type="dxa"/>
            <w:shd w:val="clear" w:color="auto" w:fill="auto"/>
          </w:tcPr>
          <w:p w14:paraId="65AA4375" w14:textId="7372BEF1" w:rsidR="002E732D" w:rsidRPr="00251963" w:rsidRDefault="002E732D" w:rsidP="00FA67BA">
            <w:pPr>
              <w:spacing w:line="276" w:lineRule="auto"/>
              <w:rPr>
                <w:rFonts w:cs="Arial"/>
                <w:sz w:val="20"/>
                <w:szCs w:val="18"/>
              </w:rPr>
            </w:pPr>
            <w:r>
              <w:rPr>
                <w:rFonts w:cs="Arial"/>
                <w:sz w:val="20"/>
                <w:szCs w:val="18"/>
              </w:rPr>
              <w:t xml:space="preserve">OECD </w:t>
            </w:r>
            <w:r w:rsidR="00006087">
              <w:rPr>
                <w:rFonts w:cs="Arial"/>
                <w:sz w:val="20"/>
                <w:szCs w:val="18"/>
              </w:rPr>
              <w:t>(Economic Outlook, červen 2020)</w:t>
            </w:r>
          </w:p>
        </w:tc>
        <w:tc>
          <w:tcPr>
            <w:tcW w:w="1948" w:type="dxa"/>
          </w:tcPr>
          <w:p w14:paraId="4FEAC9E7" w14:textId="609E1D1C" w:rsidR="002E732D" w:rsidRPr="00006087" w:rsidRDefault="00006087" w:rsidP="00FA67BA">
            <w:pPr>
              <w:pStyle w:val="Odstavecseseznamem"/>
              <w:numPr>
                <w:ilvl w:val="0"/>
                <w:numId w:val="8"/>
              </w:numPr>
              <w:spacing w:line="276" w:lineRule="auto"/>
              <w:ind w:right="300"/>
              <w:jc w:val="right"/>
              <w:rPr>
                <w:rFonts w:cs="Arial"/>
                <w:sz w:val="20"/>
                <w:szCs w:val="18"/>
              </w:rPr>
            </w:pPr>
            <w:r>
              <w:rPr>
                <w:rFonts w:cs="Arial"/>
                <w:sz w:val="20"/>
                <w:szCs w:val="18"/>
              </w:rPr>
              <w:t>9,6 %</w:t>
            </w:r>
          </w:p>
        </w:tc>
        <w:tc>
          <w:tcPr>
            <w:tcW w:w="1843" w:type="dxa"/>
          </w:tcPr>
          <w:p w14:paraId="7D507A0E" w14:textId="06B36E58" w:rsidR="002E732D" w:rsidRDefault="00006087" w:rsidP="00FA67BA">
            <w:pPr>
              <w:spacing w:line="276" w:lineRule="auto"/>
              <w:jc w:val="right"/>
              <w:rPr>
                <w:rFonts w:cs="Arial"/>
                <w:sz w:val="20"/>
                <w:szCs w:val="18"/>
              </w:rPr>
            </w:pPr>
            <w:r>
              <w:rPr>
                <w:rFonts w:cs="Arial"/>
                <w:sz w:val="20"/>
                <w:szCs w:val="18"/>
              </w:rPr>
              <w:t>7,1 %</w:t>
            </w:r>
          </w:p>
        </w:tc>
      </w:tr>
      <w:tr w:rsidR="002E732D" w:rsidRPr="00D06DE3" w14:paraId="04F9D0FF" w14:textId="5F40EB38" w:rsidTr="00E01CBE">
        <w:trPr>
          <w:trHeight w:val="242"/>
        </w:trPr>
        <w:tc>
          <w:tcPr>
            <w:tcW w:w="6274" w:type="dxa"/>
            <w:shd w:val="clear" w:color="auto" w:fill="auto"/>
          </w:tcPr>
          <w:p w14:paraId="136EA678" w14:textId="2BF8DC84" w:rsidR="002E732D" w:rsidRPr="000B4814" w:rsidRDefault="002E732D" w:rsidP="00FA67BA">
            <w:pPr>
              <w:spacing w:line="276" w:lineRule="auto"/>
              <w:rPr>
                <w:rFonts w:cs="Arial"/>
                <w:b/>
                <w:bCs/>
                <w:sz w:val="20"/>
                <w:szCs w:val="18"/>
              </w:rPr>
            </w:pPr>
            <w:r w:rsidRPr="000B4814">
              <w:rPr>
                <w:rFonts w:cs="Arial"/>
                <w:b/>
                <w:bCs/>
                <w:color w:val="FF0000"/>
                <w:sz w:val="20"/>
                <w:szCs w:val="18"/>
              </w:rPr>
              <w:t xml:space="preserve">ČBA (prognóza </w:t>
            </w:r>
            <w:r>
              <w:rPr>
                <w:rFonts w:cs="Arial"/>
                <w:b/>
                <w:bCs/>
                <w:color w:val="FF0000"/>
                <w:sz w:val="20"/>
                <w:szCs w:val="18"/>
              </w:rPr>
              <w:t>červenec</w:t>
            </w:r>
            <w:r w:rsidRPr="000B4814">
              <w:rPr>
                <w:rFonts w:cs="Arial"/>
                <w:b/>
                <w:bCs/>
                <w:color w:val="FF0000"/>
                <w:sz w:val="20"/>
                <w:szCs w:val="18"/>
              </w:rPr>
              <w:t xml:space="preserve"> 2020)       </w:t>
            </w:r>
          </w:p>
        </w:tc>
        <w:tc>
          <w:tcPr>
            <w:tcW w:w="1948" w:type="dxa"/>
            <w:vAlign w:val="bottom"/>
          </w:tcPr>
          <w:p w14:paraId="4F838E60" w14:textId="54CD95FE" w:rsidR="002E732D" w:rsidRPr="003F2B91" w:rsidRDefault="003F2B91" w:rsidP="00FA67BA">
            <w:pPr>
              <w:pStyle w:val="Odstavecseseznamem"/>
              <w:numPr>
                <w:ilvl w:val="0"/>
                <w:numId w:val="9"/>
              </w:numPr>
              <w:spacing w:line="276" w:lineRule="auto"/>
              <w:ind w:right="300"/>
              <w:jc w:val="right"/>
              <w:rPr>
                <w:rFonts w:cs="Arial"/>
                <w:b/>
                <w:bCs/>
                <w:color w:val="FF0000"/>
                <w:sz w:val="20"/>
              </w:rPr>
            </w:pPr>
            <w:r w:rsidRPr="003F2B91">
              <w:rPr>
                <w:rFonts w:cs="Arial"/>
                <w:b/>
                <w:color w:val="FF0000"/>
                <w:sz w:val="20"/>
                <w:szCs w:val="18"/>
              </w:rPr>
              <w:t>7,5</w:t>
            </w:r>
            <w:r w:rsidR="002E732D" w:rsidRPr="003F2B91">
              <w:rPr>
                <w:rFonts w:cs="Arial"/>
                <w:b/>
                <w:color w:val="FF0000"/>
                <w:sz w:val="20"/>
                <w:szCs w:val="18"/>
              </w:rPr>
              <w:t xml:space="preserve"> %</w:t>
            </w:r>
          </w:p>
        </w:tc>
        <w:tc>
          <w:tcPr>
            <w:tcW w:w="1843" w:type="dxa"/>
          </w:tcPr>
          <w:p w14:paraId="588CB755" w14:textId="11ABD53D" w:rsidR="002E732D" w:rsidRPr="000B4814" w:rsidRDefault="003F2B91" w:rsidP="00FA67BA">
            <w:pPr>
              <w:pStyle w:val="Normlnweb"/>
              <w:spacing w:before="0" w:beforeAutospacing="0" w:after="0" w:afterAutospacing="0" w:line="276" w:lineRule="auto"/>
              <w:jc w:val="right"/>
              <w:textAlignment w:val="bottom"/>
              <w:rPr>
                <w:rFonts w:ascii="Arial" w:hAnsi="Arial" w:cs="Arial"/>
                <w:b/>
                <w:bCs/>
                <w:color w:val="FF0000"/>
                <w:sz w:val="20"/>
                <w:szCs w:val="20"/>
              </w:rPr>
            </w:pPr>
            <w:r>
              <w:rPr>
                <w:rFonts w:ascii="Arial" w:hAnsi="Arial" w:cs="Arial"/>
                <w:b/>
                <w:bCs/>
                <w:color w:val="FF0000"/>
                <w:sz w:val="20"/>
                <w:szCs w:val="20"/>
              </w:rPr>
              <w:t>5</w:t>
            </w:r>
            <w:r w:rsidR="002E732D" w:rsidRPr="000B4814">
              <w:rPr>
                <w:rFonts w:ascii="Arial" w:hAnsi="Arial" w:cs="Arial"/>
                <w:b/>
                <w:bCs/>
                <w:color w:val="FF0000"/>
                <w:sz w:val="20"/>
                <w:szCs w:val="20"/>
              </w:rPr>
              <w:t>,3 %</w:t>
            </w:r>
          </w:p>
        </w:tc>
      </w:tr>
    </w:tbl>
    <w:p w14:paraId="4693D087" w14:textId="77777777" w:rsidR="00FA3413" w:rsidRDefault="00FA3413" w:rsidP="00FA67BA">
      <w:pPr>
        <w:spacing w:line="276" w:lineRule="auto"/>
        <w:rPr>
          <w:b/>
          <w:color w:val="007E79"/>
          <w:sz w:val="20"/>
        </w:rPr>
      </w:pPr>
    </w:p>
    <w:p w14:paraId="0FC19613" w14:textId="0D42611A" w:rsidR="00C93158" w:rsidRPr="00302451" w:rsidRDefault="00C93158" w:rsidP="00FA67BA">
      <w:pPr>
        <w:spacing w:line="276" w:lineRule="auto"/>
        <w:rPr>
          <w:b/>
          <w:color w:val="007E79"/>
          <w:sz w:val="20"/>
        </w:rPr>
      </w:pPr>
      <w:r w:rsidRPr="00302451">
        <w:rPr>
          <w:b/>
          <w:color w:val="007E79"/>
          <w:sz w:val="20"/>
        </w:rPr>
        <w:t>Makroekonomická prognóza ČBA v číslech:</w:t>
      </w:r>
    </w:p>
    <w:tbl>
      <w:tblPr>
        <w:tblW w:w="9346" w:type="dxa"/>
        <w:tblCellMar>
          <w:left w:w="0" w:type="dxa"/>
          <w:right w:w="0" w:type="dxa"/>
        </w:tblCellMar>
        <w:tblLook w:val="04A0" w:firstRow="1" w:lastRow="0" w:firstColumn="1" w:lastColumn="0" w:noHBand="0" w:noVBand="1"/>
      </w:tblPr>
      <w:tblGrid>
        <w:gridCol w:w="4644"/>
        <w:gridCol w:w="1583"/>
        <w:gridCol w:w="1560"/>
        <w:gridCol w:w="1559"/>
      </w:tblGrid>
      <w:tr w:rsidR="00156EF2" w:rsidRPr="0065675B" w14:paraId="4B1594D4" w14:textId="5AF73129" w:rsidTr="00E01CBE">
        <w:trPr>
          <w:trHeight w:val="88"/>
        </w:trPr>
        <w:tc>
          <w:tcPr>
            <w:tcW w:w="4644"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411568ED"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Ukazatel</w:t>
            </w:r>
          </w:p>
        </w:tc>
        <w:tc>
          <w:tcPr>
            <w:tcW w:w="1583"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28E7FCB5" w14:textId="4FFB2323"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2019 (</w:t>
            </w:r>
            <w:r>
              <w:rPr>
                <w:rFonts w:ascii="Calibri" w:hAnsi="Calibri" w:cs="Calibri"/>
                <w:b/>
                <w:bCs/>
                <w:color w:val="FFFFFF" w:themeColor="light1"/>
                <w:kern w:val="24"/>
                <w:sz w:val="20"/>
              </w:rPr>
              <w:t>skutečnost</w:t>
            </w:r>
            <w:r w:rsidRPr="0065675B">
              <w:rPr>
                <w:rFonts w:ascii="Calibri" w:hAnsi="Calibri" w:cs="Calibri"/>
                <w:b/>
                <w:bCs/>
                <w:color w:val="FFFFFF" w:themeColor="light1"/>
                <w:kern w:val="24"/>
                <w:sz w:val="20"/>
              </w:rPr>
              <w:t>)</w:t>
            </w:r>
          </w:p>
        </w:tc>
        <w:tc>
          <w:tcPr>
            <w:tcW w:w="1560"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hideMark/>
          </w:tcPr>
          <w:p w14:paraId="66D66CB7"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2020 (prognóza)</w:t>
            </w:r>
          </w:p>
        </w:tc>
        <w:tc>
          <w:tcPr>
            <w:tcW w:w="1559" w:type="dxa"/>
            <w:tcBorders>
              <w:top w:val="single" w:sz="8" w:space="0" w:color="FFFFFF"/>
              <w:left w:val="single" w:sz="8" w:space="0" w:color="FFFFFF"/>
              <w:bottom w:val="single" w:sz="24" w:space="0" w:color="FFFFFF"/>
              <w:right w:val="single" w:sz="8" w:space="0" w:color="FFFFFF"/>
            </w:tcBorders>
            <w:shd w:val="clear" w:color="auto" w:fill="007E79"/>
          </w:tcPr>
          <w:p w14:paraId="5825E283" w14:textId="0725D39A" w:rsidR="00156EF2" w:rsidRPr="0065675B" w:rsidRDefault="00156EF2" w:rsidP="00FA67BA">
            <w:pPr>
              <w:autoSpaceDE/>
              <w:autoSpaceDN/>
              <w:adjustRightInd/>
              <w:spacing w:line="276" w:lineRule="auto"/>
              <w:textAlignment w:val="auto"/>
              <w:rPr>
                <w:rFonts w:ascii="Calibri" w:hAnsi="Calibri" w:cs="Calibri"/>
                <w:b/>
                <w:bCs/>
                <w:color w:val="FFFFFF" w:themeColor="light1"/>
                <w:kern w:val="24"/>
                <w:sz w:val="20"/>
              </w:rPr>
            </w:pPr>
            <w:r>
              <w:rPr>
                <w:rFonts w:ascii="Calibri" w:hAnsi="Calibri" w:cs="Calibri"/>
                <w:b/>
                <w:bCs/>
                <w:color w:val="FFFFFF" w:themeColor="light1"/>
                <w:kern w:val="24"/>
                <w:sz w:val="20"/>
              </w:rPr>
              <w:t>2021 (prognóza)</w:t>
            </w:r>
          </w:p>
        </w:tc>
      </w:tr>
      <w:tr w:rsidR="00156EF2" w:rsidRPr="0065675B" w14:paraId="6C6060CF" w14:textId="406F95A7" w:rsidTr="00E01CBE">
        <w:trPr>
          <w:trHeight w:val="87"/>
        </w:trPr>
        <w:tc>
          <w:tcPr>
            <w:tcW w:w="4644" w:type="dxa"/>
            <w:tcBorders>
              <w:top w:val="single" w:sz="24"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5FB5585"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reálného HDP (%)</w:t>
            </w:r>
          </w:p>
        </w:tc>
        <w:tc>
          <w:tcPr>
            <w:tcW w:w="158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BA0394A" w14:textId="14C354E1"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2,5</w:t>
            </w:r>
          </w:p>
        </w:tc>
        <w:tc>
          <w:tcPr>
            <w:tcW w:w="1560"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CC27DCA" w14:textId="0B80460B" w:rsidR="00156EF2" w:rsidRPr="00156EF2" w:rsidRDefault="00156EF2" w:rsidP="00FA67BA">
            <w:pPr>
              <w:pStyle w:val="Odstavecseseznamem"/>
              <w:numPr>
                <w:ilvl w:val="0"/>
                <w:numId w:val="9"/>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7,5</w:t>
            </w:r>
          </w:p>
        </w:tc>
        <w:tc>
          <w:tcPr>
            <w:tcW w:w="1559" w:type="dxa"/>
            <w:tcBorders>
              <w:top w:val="single" w:sz="24" w:space="0" w:color="FFFFFF"/>
              <w:left w:val="single" w:sz="8" w:space="0" w:color="FFFFFF"/>
              <w:bottom w:val="single" w:sz="8" w:space="0" w:color="FFFFFF"/>
              <w:right w:val="single" w:sz="8" w:space="0" w:color="FFFFFF"/>
            </w:tcBorders>
            <w:shd w:val="clear" w:color="auto" w:fill="BFBFBF"/>
          </w:tcPr>
          <w:p w14:paraId="13CD0E3F" w14:textId="47E21D66"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5</w:t>
            </w:r>
            <w:r w:rsidR="00156EF2">
              <w:rPr>
                <w:rFonts w:ascii="Calibri" w:eastAsia="PMingLiU" w:hAnsi="Calibri"/>
                <w:b/>
                <w:bCs/>
                <w:color w:val="000000"/>
                <w:kern w:val="24"/>
                <w:sz w:val="22"/>
                <w:szCs w:val="22"/>
              </w:rPr>
              <w:t>,3</w:t>
            </w:r>
          </w:p>
        </w:tc>
      </w:tr>
      <w:tr w:rsidR="00156EF2" w:rsidRPr="0065675B" w14:paraId="646474FC" w14:textId="3CA853EA" w:rsidTr="00E01CBE">
        <w:trPr>
          <w:trHeight w:val="91"/>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486EC867"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Podíl nezaměstnaných osob (MPSV): průměr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AAAA210" w14:textId="1CB6182B"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2,8</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F17F024" w14:textId="7C20A183"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4,4</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20A8075C" w14:textId="6CB07B12"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5</w:t>
            </w:r>
            <w:r w:rsidR="00156EF2">
              <w:rPr>
                <w:rFonts w:ascii="Calibri" w:eastAsia="PMingLiU" w:hAnsi="Calibri"/>
                <w:b/>
                <w:bCs/>
                <w:color w:val="000000"/>
                <w:kern w:val="24"/>
                <w:sz w:val="22"/>
                <w:szCs w:val="22"/>
              </w:rPr>
              <w:t>,</w:t>
            </w:r>
            <w:r>
              <w:rPr>
                <w:rFonts w:ascii="Calibri" w:eastAsia="PMingLiU" w:hAnsi="Calibri"/>
                <w:b/>
                <w:bCs/>
                <w:color w:val="000000"/>
                <w:kern w:val="24"/>
                <w:sz w:val="22"/>
                <w:szCs w:val="22"/>
              </w:rPr>
              <w:t>1</w:t>
            </w:r>
          </w:p>
        </w:tc>
      </w:tr>
      <w:tr w:rsidR="00156EF2" w:rsidRPr="0065675B" w14:paraId="636D37C4" w14:textId="692F159B"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CE8D490"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Průměrná nominální mzda (růst v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DA15EC4" w14:textId="08D72BEF"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7,0</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2BD4E2E" w14:textId="06A8B8A6"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3,1</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4E5CDC8F" w14:textId="02BF8EA9"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3,0</w:t>
            </w:r>
          </w:p>
        </w:tc>
      </w:tr>
      <w:tr w:rsidR="00156EF2" w:rsidRPr="0065675B" w14:paraId="3BA814CF" w14:textId="5B864073"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0013A2F"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Míra inflace: CPI (%) průměr</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7F5738C" w14:textId="4C8A0F64"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2,8</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E5E8884" w14:textId="6134830F"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3,0</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48636833" w14:textId="705A9D91"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1,9</w:t>
            </w:r>
          </w:p>
        </w:tc>
      </w:tr>
      <w:tr w:rsidR="00156EF2" w:rsidRPr="0065675B" w14:paraId="521233EC" w14:textId="28A14000"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A330F8F"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Vládní deficit/přebytek (% HDP)</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FCBE628" w14:textId="25F823E6"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0,2</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C494613" w14:textId="0515CC33" w:rsidR="00156EF2" w:rsidRPr="00520AEA"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8,2</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4D2100D0" w14:textId="2814B206" w:rsidR="00156EF2" w:rsidRPr="00520AEA"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w:t>
            </w:r>
            <w:r w:rsidR="003E31EA">
              <w:rPr>
                <w:rFonts w:ascii="Calibri" w:eastAsia="PMingLiU" w:hAnsi="Calibri"/>
                <w:b/>
                <w:bCs/>
                <w:color w:val="000000"/>
                <w:kern w:val="24"/>
                <w:sz w:val="22"/>
                <w:szCs w:val="22"/>
              </w:rPr>
              <w:t>,5</w:t>
            </w:r>
          </w:p>
        </w:tc>
      </w:tr>
      <w:tr w:rsidR="00156EF2" w:rsidRPr="0065675B" w14:paraId="14378C53" w14:textId="062909FA"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F5EC9AA"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 xml:space="preserve">Vládní dluh (% HDP)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94CED1C" w14:textId="547FCD89"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30,8</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7312A7B" w14:textId="46D3D474"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39,5</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6F706A33" w14:textId="69DDE6F4"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42,3</w:t>
            </w:r>
          </w:p>
        </w:tc>
      </w:tr>
      <w:tr w:rsidR="00156EF2" w:rsidRPr="0065675B" w14:paraId="552BE0D0" w14:textId="46A71113"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20F0540"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spotřeby domácností (%) reálně</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3152515" w14:textId="446651B4"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2,7</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D3C80F4" w14:textId="2945E0BB" w:rsidR="00156EF2" w:rsidRPr="00156EF2"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w:t>
            </w:r>
            <w:r w:rsidRPr="00156EF2">
              <w:rPr>
                <w:rFonts w:ascii="Calibri" w:eastAsia="PMingLiU" w:hAnsi="Calibri"/>
                <w:b/>
                <w:bCs/>
                <w:color w:val="000000"/>
                <w:kern w:val="24"/>
                <w:sz w:val="22"/>
                <w:szCs w:val="22"/>
              </w:rPr>
              <w:t>,4</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1246EB22" w14:textId="2C0CF5BD"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3,1</w:t>
            </w:r>
          </w:p>
        </w:tc>
      </w:tr>
      <w:tr w:rsidR="00156EF2" w:rsidRPr="0065675B" w14:paraId="1648A5F3" w14:textId="45B73A0A"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0F5C730B"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vládní spotřeby (%) reálně</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D257DD9" w14:textId="56FB32E0"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3,1</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259B385" w14:textId="14F92B16"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6,1</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213A5E70" w14:textId="3910F766"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2,6</w:t>
            </w:r>
          </w:p>
        </w:tc>
      </w:tr>
      <w:tr w:rsidR="00156EF2" w:rsidRPr="0065675B" w14:paraId="4EA7D3E3" w14:textId="5745A921"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7C130A54"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investic (%) reálně</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F7437F0" w14:textId="5826B688"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1,1</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892B148" w14:textId="3AB460DA" w:rsidR="00156EF2" w:rsidRPr="00156EF2"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sidRPr="00156EF2">
              <w:rPr>
                <w:rFonts w:ascii="Calibri" w:eastAsia="PMingLiU" w:hAnsi="Calibri"/>
                <w:b/>
                <w:bCs/>
                <w:color w:val="000000"/>
                <w:kern w:val="24"/>
                <w:sz w:val="22"/>
                <w:szCs w:val="22"/>
              </w:rPr>
              <w:t>1</w:t>
            </w:r>
            <w:r>
              <w:rPr>
                <w:rFonts w:ascii="Calibri" w:eastAsia="PMingLiU" w:hAnsi="Calibri"/>
                <w:b/>
                <w:bCs/>
                <w:color w:val="000000"/>
                <w:kern w:val="24"/>
                <w:sz w:val="22"/>
                <w:szCs w:val="22"/>
              </w:rPr>
              <w:t>5</w:t>
            </w:r>
            <w:r w:rsidRPr="00156EF2">
              <w:rPr>
                <w:rFonts w:ascii="Calibri" w:eastAsia="PMingLiU" w:hAnsi="Calibri"/>
                <w:b/>
                <w:bCs/>
                <w:color w:val="000000"/>
                <w:kern w:val="24"/>
                <w:sz w:val="22"/>
                <w:szCs w:val="22"/>
              </w:rPr>
              <w:t>,</w:t>
            </w:r>
            <w:r>
              <w:rPr>
                <w:rFonts w:ascii="Calibri" w:eastAsia="PMingLiU" w:hAnsi="Calibri"/>
                <w:b/>
                <w:bCs/>
                <w:color w:val="000000"/>
                <w:kern w:val="24"/>
                <w:sz w:val="22"/>
                <w:szCs w:val="22"/>
              </w:rPr>
              <w:t>7</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26764AE7" w14:textId="583AD3A9"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4,6</w:t>
            </w:r>
          </w:p>
        </w:tc>
      </w:tr>
      <w:tr w:rsidR="00156EF2" w:rsidRPr="0065675B" w14:paraId="10E01B12" w14:textId="77777777"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14:paraId="5926DDE6" w14:textId="5B6E0CA7" w:rsidR="00156EF2" w:rsidRPr="0065675B" w:rsidRDefault="00156EF2" w:rsidP="00FA67BA">
            <w:pPr>
              <w:autoSpaceDE/>
              <w:autoSpaceDN/>
              <w:adjustRightInd/>
              <w:spacing w:line="276" w:lineRule="auto"/>
              <w:textAlignment w:val="auto"/>
              <w:rPr>
                <w:rFonts w:ascii="Calibri" w:hAnsi="Calibri" w:cs="Calibri"/>
                <w:b/>
                <w:bCs/>
                <w:color w:val="FFFFFF" w:themeColor="light1"/>
                <w:kern w:val="24"/>
                <w:sz w:val="20"/>
              </w:rPr>
            </w:pPr>
            <w:r>
              <w:rPr>
                <w:rFonts w:ascii="Calibri" w:hAnsi="Calibri" w:cs="Calibri"/>
                <w:b/>
                <w:bCs/>
                <w:color w:val="FFFFFF" w:themeColor="light1"/>
                <w:kern w:val="24"/>
                <w:sz w:val="20"/>
              </w:rPr>
              <w:t>Růst v</w:t>
            </w:r>
            <w:r w:rsidRPr="00416A62">
              <w:rPr>
                <w:rFonts w:ascii="Calibri" w:hAnsi="Calibri" w:cs="Calibri"/>
                <w:b/>
                <w:bCs/>
                <w:color w:val="FFFFFF" w:themeColor="light1"/>
                <w:kern w:val="24"/>
                <w:sz w:val="20"/>
              </w:rPr>
              <w:t>ývoz</w:t>
            </w:r>
            <w:r>
              <w:rPr>
                <w:rFonts w:ascii="Calibri" w:hAnsi="Calibri" w:cs="Calibri"/>
                <w:b/>
                <w:bCs/>
                <w:color w:val="FFFFFF" w:themeColor="light1"/>
                <w:kern w:val="24"/>
                <w:sz w:val="20"/>
              </w:rPr>
              <w:t>ů</w:t>
            </w:r>
            <w:r w:rsidRPr="00416A62">
              <w:rPr>
                <w:rFonts w:ascii="Calibri" w:hAnsi="Calibri" w:cs="Calibri"/>
                <w:b/>
                <w:bCs/>
                <w:color w:val="FFFFFF" w:themeColor="light1"/>
                <w:kern w:val="24"/>
                <w:sz w:val="20"/>
              </w:rPr>
              <w:t xml:space="preserve"> (%)</w:t>
            </w:r>
            <w:r>
              <w:rPr>
                <w:rFonts w:ascii="Calibri" w:hAnsi="Calibri" w:cs="Calibri"/>
                <w:b/>
                <w:bCs/>
                <w:color w:val="FFFFFF" w:themeColor="light1"/>
                <w:kern w:val="24"/>
                <w:sz w:val="20"/>
              </w:rPr>
              <w:t xml:space="preserve"> </w:t>
            </w:r>
            <w:r w:rsidRPr="00416A62">
              <w:rPr>
                <w:rFonts w:ascii="Calibri" w:hAnsi="Calibri" w:cs="Calibri"/>
                <w:b/>
                <w:bCs/>
                <w:color w:val="FFFFFF" w:themeColor="light1"/>
                <w:kern w:val="24"/>
                <w:sz w:val="20"/>
              </w:rPr>
              <w:t>reálně</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654F6FA" w14:textId="6925AC83"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1,9</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493902A" w14:textId="079DDC7F" w:rsidR="00156EF2" w:rsidRPr="00156EF2"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12,1</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3C0E6FB4" w14:textId="7D49A27E" w:rsidR="00156EF2"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9,0</w:t>
            </w:r>
          </w:p>
        </w:tc>
      </w:tr>
      <w:tr w:rsidR="00156EF2" w:rsidRPr="0065675B" w14:paraId="630C8A48" w14:textId="77777777"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14:paraId="4D925B36" w14:textId="5F366F9C" w:rsidR="00156EF2" w:rsidRPr="0065675B" w:rsidRDefault="00156EF2" w:rsidP="00FA67BA">
            <w:pPr>
              <w:autoSpaceDE/>
              <w:autoSpaceDN/>
              <w:adjustRightInd/>
              <w:spacing w:line="276" w:lineRule="auto"/>
              <w:textAlignment w:val="auto"/>
              <w:rPr>
                <w:rFonts w:ascii="Calibri" w:hAnsi="Calibri" w:cs="Calibri"/>
                <w:b/>
                <w:bCs/>
                <w:color w:val="FFFFFF" w:themeColor="light1"/>
                <w:kern w:val="24"/>
                <w:sz w:val="20"/>
              </w:rPr>
            </w:pPr>
            <w:r>
              <w:rPr>
                <w:rFonts w:ascii="Calibri" w:hAnsi="Calibri" w:cs="Calibri"/>
                <w:b/>
                <w:bCs/>
                <w:color w:val="FFFFFF" w:themeColor="light1"/>
                <w:kern w:val="24"/>
                <w:sz w:val="20"/>
              </w:rPr>
              <w:t>Růst dovozů (%) reálně</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6286ABA" w14:textId="7CC66B1B"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1,6</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79357BC" w14:textId="0B98C169" w:rsidR="00156EF2" w:rsidRPr="00156EF2"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8,7</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2A99A2F0" w14:textId="7D67AAE0" w:rsidR="00156EF2"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7,7</w:t>
            </w:r>
          </w:p>
        </w:tc>
      </w:tr>
      <w:tr w:rsidR="00156EF2" w:rsidRPr="0065675B" w14:paraId="6F4CA3D3" w14:textId="232459AF"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7787A8E"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reálného HDP v eurozóně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689801DE" w14:textId="15830668"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A8C9C15" w14:textId="636B5B84" w:rsidR="00156EF2" w:rsidRPr="00156EF2" w:rsidRDefault="00156EF2" w:rsidP="00FA67BA">
            <w:pPr>
              <w:pStyle w:val="Odstavecseseznamem"/>
              <w:numPr>
                <w:ilvl w:val="0"/>
                <w:numId w:val="7"/>
              </w:num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7,9</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44915947" w14:textId="1CBDC883"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5,2</w:t>
            </w:r>
          </w:p>
        </w:tc>
      </w:tr>
      <w:tr w:rsidR="00156EF2" w:rsidRPr="0065675B" w14:paraId="60142AA4" w14:textId="171AD64E"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A35B974"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Směnný kurz CZK/EUR: průměr</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C226044" w14:textId="0030192E"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25,67</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DD3C408" w14:textId="4A281B1F"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26,43</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7B9C3C2F" w14:textId="18B29EC8"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25,</w:t>
            </w:r>
            <w:r w:rsidR="003E31EA">
              <w:rPr>
                <w:rFonts w:ascii="Calibri" w:eastAsia="PMingLiU" w:hAnsi="Calibri"/>
                <w:b/>
                <w:bCs/>
                <w:color w:val="000000"/>
                <w:kern w:val="24"/>
                <w:sz w:val="22"/>
                <w:szCs w:val="22"/>
              </w:rPr>
              <w:t>86</w:t>
            </w:r>
          </w:p>
        </w:tc>
      </w:tr>
      <w:tr w:rsidR="00156EF2" w:rsidRPr="0065675B" w14:paraId="445C4C94" w14:textId="33BDCCB6"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00B4B737"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Ceny ropy (USD za barel): brent průměr</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0DA44B85" w14:textId="58B7B2D8"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64,1</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2F1E147" w14:textId="63AAE484"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41,00</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136342DA" w14:textId="3D7C55B8" w:rsidR="00156EF2"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47,50</w:t>
            </w:r>
          </w:p>
        </w:tc>
      </w:tr>
      <w:tr w:rsidR="00156EF2" w:rsidRPr="0065675B" w14:paraId="23861021" w14:textId="62086BC7"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23F29BAA"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Základní sazba ČNB 2T REPO (%): konec období</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09D982A" w14:textId="20529239"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2,00</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8E35022" w14:textId="47B0FA43"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0,25</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781B8F2D" w14:textId="4B32132A"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0,</w:t>
            </w:r>
            <w:r w:rsidR="00153D1F">
              <w:rPr>
                <w:rFonts w:ascii="Calibri" w:eastAsia="PMingLiU" w:hAnsi="Calibri"/>
                <w:b/>
                <w:bCs/>
                <w:color w:val="000000"/>
                <w:kern w:val="24"/>
                <w:sz w:val="22"/>
                <w:szCs w:val="22"/>
              </w:rPr>
              <w:t>25-0,5</w:t>
            </w:r>
          </w:p>
        </w:tc>
      </w:tr>
      <w:tr w:rsidR="00156EF2" w:rsidRPr="0065675B" w14:paraId="32A294F8" w14:textId="5450A20A"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9258B6A"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Základní sazba ECB (%): konec období</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956D446" w14:textId="6A0E2CAE"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0,0</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531A4A56" w14:textId="4400CDB6"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0,0</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34653AAA" w14:textId="5B4A0745"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0,0</w:t>
            </w:r>
          </w:p>
        </w:tc>
      </w:tr>
      <w:tr w:rsidR="00156EF2" w:rsidRPr="0065675B" w14:paraId="72155F13" w14:textId="2A886E37"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2239ABC3"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3M-PRIBOR (%): průměr</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CB373A3" w14:textId="11E0404E"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2,12</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B680F07" w14:textId="3F953D9E"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0,84</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4EF90161" w14:textId="0A50B51B"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0,38</w:t>
            </w:r>
          </w:p>
        </w:tc>
      </w:tr>
      <w:tr w:rsidR="00156EF2" w:rsidRPr="0065675B" w14:paraId="50544107" w14:textId="41B6D86E"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38ED4C72"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bankovních úvěrů klientských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CE019AA" w14:textId="0AB0FEA9"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5,2</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3C457989" w14:textId="7E2E01C3"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4,0</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1E99C6E9" w14:textId="293D86EA"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w:t>
            </w:r>
            <w:r w:rsidR="00156EF2">
              <w:rPr>
                <w:rFonts w:ascii="Calibri" w:eastAsia="PMingLiU" w:hAnsi="Calibri"/>
                <w:b/>
                <w:bCs/>
                <w:color w:val="000000"/>
                <w:kern w:val="24"/>
                <w:sz w:val="22"/>
                <w:szCs w:val="22"/>
              </w:rPr>
              <w:t>,1</w:t>
            </w:r>
          </w:p>
        </w:tc>
      </w:tr>
      <w:tr w:rsidR="00156EF2" w:rsidRPr="0065675B" w14:paraId="32076E5F" w14:textId="0C708F0C" w:rsidTr="00E01CBE">
        <w:trPr>
          <w:trHeight w:val="87"/>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4B4F9597"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bankovních úvěrů domácnostem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8369240" w14:textId="33F22929"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6,6</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70957DC9" w14:textId="3A14DF94"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5,4</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552C6DE4" w14:textId="7AEE559B"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4</w:t>
            </w:r>
            <w:r w:rsidR="00156EF2">
              <w:rPr>
                <w:rFonts w:ascii="Calibri" w:eastAsia="PMingLiU" w:hAnsi="Calibri"/>
                <w:b/>
                <w:bCs/>
                <w:color w:val="000000"/>
                <w:kern w:val="24"/>
                <w:sz w:val="22"/>
                <w:szCs w:val="22"/>
              </w:rPr>
              <w:t>,</w:t>
            </w:r>
            <w:r>
              <w:rPr>
                <w:rFonts w:ascii="Calibri" w:eastAsia="PMingLiU" w:hAnsi="Calibri"/>
                <w:b/>
                <w:bCs/>
                <w:color w:val="000000"/>
                <w:kern w:val="24"/>
                <w:sz w:val="22"/>
                <w:szCs w:val="22"/>
              </w:rPr>
              <w:t>8</w:t>
            </w:r>
          </w:p>
        </w:tc>
      </w:tr>
      <w:tr w:rsidR="00156EF2" w:rsidRPr="0065675B" w14:paraId="418E71CA" w14:textId="248095F4" w:rsidTr="00E01CBE">
        <w:trPr>
          <w:trHeight w:val="84"/>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62221125"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bankovních úvěrů (nefinančním) podnikům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06F2A8B" w14:textId="451C9173" w:rsidR="00156EF2" w:rsidRPr="00156EF2" w:rsidRDefault="00156EF2" w:rsidP="00FA67BA">
            <w:pPr>
              <w:overflowPunct/>
              <w:autoSpaceDE/>
              <w:autoSpaceDN/>
              <w:adjustRightInd/>
              <w:spacing w:line="276" w:lineRule="auto"/>
              <w:jc w:val="right"/>
              <w:textAlignment w:val="bottom"/>
              <w:rPr>
                <w:rFonts w:ascii="Calibri" w:eastAsia="PMingLiU" w:hAnsi="Calibri"/>
                <w:b/>
                <w:bCs/>
                <w:color w:val="44546A" w:themeColor="text2"/>
                <w:kern w:val="24"/>
                <w:sz w:val="22"/>
                <w:szCs w:val="22"/>
              </w:rPr>
            </w:pPr>
            <w:r w:rsidRPr="00156EF2">
              <w:rPr>
                <w:rFonts w:ascii="Calibri" w:eastAsia="PMingLiU" w:hAnsi="Calibri"/>
                <w:b/>
                <w:bCs/>
                <w:color w:val="44546A" w:themeColor="text2"/>
                <w:kern w:val="24"/>
                <w:sz w:val="22"/>
                <w:szCs w:val="22"/>
              </w:rPr>
              <w:t>4,3</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13BFD657" w14:textId="0BE56564"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3,5</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7405681C" w14:textId="0BA50DD1"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3,9</w:t>
            </w:r>
          </w:p>
        </w:tc>
      </w:tr>
      <w:tr w:rsidR="00156EF2" w:rsidRPr="0065675B" w14:paraId="1C64EB0D" w14:textId="0E77FC67" w:rsidTr="00E01CBE">
        <w:trPr>
          <w:trHeight w:val="84"/>
        </w:trPr>
        <w:tc>
          <w:tcPr>
            <w:tcW w:w="4644"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hideMark/>
          </w:tcPr>
          <w:p w14:paraId="10B03657" w14:textId="77777777" w:rsidR="00156EF2" w:rsidRPr="0065675B" w:rsidRDefault="00156EF2" w:rsidP="00FA67BA">
            <w:pPr>
              <w:autoSpaceDE/>
              <w:autoSpaceDN/>
              <w:adjustRightInd/>
              <w:spacing w:line="276" w:lineRule="auto"/>
              <w:textAlignment w:val="auto"/>
              <w:rPr>
                <w:rFonts w:cs="Arial"/>
                <w:sz w:val="36"/>
                <w:szCs w:val="36"/>
              </w:rPr>
            </w:pPr>
            <w:r w:rsidRPr="0065675B">
              <w:rPr>
                <w:rFonts w:ascii="Calibri" w:hAnsi="Calibri" w:cs="Calibri"/>
                <w:b/>
                <w:bCs/>
                <w:color w:val="FFFFFF" w:themeColor="light1"/>
                <w:kern w:val="24"/>
                <w:sz w:val="20"/>
              </w:rPr>
              <w:t>Růst bankovních vkladů klientských celkem (%)</w:t>
            </w:r>
          </w:p>
        </w:tc>
        <w:tc>
          <w:tcPr>
            <w:tcW w:w="158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437631DE" w14:textId="1BBAD734"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sidRPr="003E31EA">
              <w:rPr>
                <w:rFonts w:ascii="Calibri" w:eastAsia="PMingLiU" w:hAnsi="Calibri"/>
                <w:b/>
                <w:bCs/>
                <w:color w:val="44546A" w:themeColor="text2"/>
                <w:kern w:val="24"/>
                <w:sz w:val="22"/>
                <w:szCs w:val="22"/>
              </w:rPr>
              <w:t>9,7</w:t>
            </w:r>
          </w:p>
        </w:tc>
        <w:tc>
          <w:tcPr>
            <w:tcW w:w="1560"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bottom"/>
          </w:tcPr>
          <w:p w14:paraId="2863EC17" w14:textId="3DE13B38" w:rsidR="00156EF2" w:rsidRPr="0042113A" w:rsidRDefault="00156EF2"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9,0</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Pr>
          <w:p w14:paraId="2C1AA335" w14:textId="0DEBF522" w:rsidR="00156EF2" w:rsidRPr="0042113A" w:rsidRDefault="003E31EA" w:rsidP="00FA67BA">
            <w:pPr>
              <w:overflowPunct/>
              <w:autoSpaceDE/>
              <w:autoSpaceDN/>
              <w:adjustRightInd/>
              <w:spacing w:line="276" w:lineRule="auto"/>
              <w:jc w:val="right"/>
              <w:textAlignment w:val="bottom"/>
              <w:rPr>
                <w:rFonts w:ascii="Calibri" w:eastAsia="PMingLiU" w:hAnsi="Calibri"/>
                <w:b/>
                <w:bCs/>
                <w:color w:val="000000"/>
                <w:kern w:val="24"/>
                <w:sz w:val="22"/>
                <w:szCs w:val="22"/>
              </w:rPr>
            </w:pPr>
            <w:r>
              <w:rPr>
                <w:rFonts w:ascii="Calibri" w:eastAsia="PMingLiU" w:hAnsi="Calibri"/>
                <w:b/>
                <w:bCs/>
                <w:color w:val="000000"/>
                <w:kern w:val="24"/>
                <w:sz w:val="22"/>
                <w:szCs w:val="22"/>
              </w:rPr>
              <w:t>5,0</w:t>
            </w:r>
          </w:p>
        </w:tc>
      </w:tr>
    </w:tbl>
    <w:p w14:paraId="52164C52" w14:textId="77777777" w:rsidR="004B74EC" w:rsidRDefault="004B74EC" w:rsidP="00FA67BA">
      <w:pPr>
        <w:spacing w:line="276" w:lineRule="auto"/>
        <w:rPr>
          <w:rFonts w:eastAsiaTheme="minorEastAsia" w:cs="Arial"/>
        </w:rPr>
      </w:pPr>
    </w:p>
    <w:p w14:paraId="5015A71F" w14:textId="77777777" w:rsidR="004B74EC" w:rsidRDefault="004B74EC" w:rsidP="00FA67BA">
      <w:pPr>
        <w:spacing w:line="276" w:lineRule="auto"/>
        <w:rPr>
          <w:rFonts w:eastAsiaTheme="minorEastAsia" w:cs="Arial"/>
        </w:rPr>
      </w:pPr>
    </w:p>
    <w:p w14:paraId="7E1B49ED" w14:textId="77777777" w:rsidR="004B74EC" w:rsidRDefault="004B74EC" w:rsidP="00FA67BA">
      <w:pPr>
        <w:spacing w:line="276" w:lineRule="auto"/>
        <w:rPr>
          <w:rFonts w:eastAsiaTheme="minorEastAsia" w:cs="Arial"/>
        </w:rPr>
      </w:pPr>
    </w:p>
    <w:p w14:paraId="4E5CA3D3" w14:textId="77777777" w:rsidR="004B74EC" w:rsidRDefault="004B74EC" w:rsidP="00FA67BA">
      <w:pPr>
        <w:spacing w:line="276" w:lineRule="auto"/>
        <w:rPr>
          <w:rFonts w:eastAsiaTheme="minorEastAsia" w:cs="Arial"/>
        </w:rPr>
      </w:pPr>
    </w:p>
    <w:p w14:paraId="1ABA5700" w14:textId="77777777" w:rsidR="004B74EC" w:rsidRDefault="004B74EC" w:rsidP="00FA67BA">
      <w:pPr>
        <w:spacing w:line="276" w:lineRule="auto"/>
        <w:rPr>
          <w:rFonts w:eastAsiaTheme="minorEastAsia" w:cs="Arial"/>
        </w:rPr>
      </w:pPr>
    </w:p>
    <w:p w14:paraId="4D15FF1B" w14:textId="77777777" w:rsidR="004B74EC" w:rsidRDefault="004B74EC" w:rsidP="00FA67BA">
      <w:pPr>
        <w:spacing w:line="276" w:lineRule="auto"/>
        <w:rPr>
          <w:rFonts w:eastAsiaTheme="minorEastAsia" w:cs="Arial"/>
        </w:rPr>
      </w:pPr>
    </w:p>
    <w:p w14:paraId="790280A0" w14:textId="77777777" w:rsidR="004B74EC" w:rsidRDefault="004B74EC" w:rsidP="00FA67BA">
      <w:pPr>
        <w:spacing w:line="276" w:lineRule="auto"/>
        <w:rPr>
          <w:rFonts w:eastAsiaTheme="minorEastAsia" w:cs="Arial"/>
        </w:rPr>
      </w:pPr>
    </w:p>
    <w:p w14:paraId="4FB8FEA9" w14:textId="77777777" w:rsidR="004B74EC" w:rsidRDefault="004B74EC" w:rsidP="00FA67BA">
      <w:pPr>
        <w:spacing w:line="276" w:lineRule="auto"/>
        <w:rPr>
          <w:rFonts w:eastAsiaTheme="minorEastAsia" w:cs="Arial"/>
        </w:rPr>
      </w:pPr>
    </w:p>
    <w:p w14:paraId="4F64E21C" w14:textId="77777777" w:rsidR="004B74EC" w:rsidRDefault="004B74EC" w:rsidP="00FA67BA">
      <w:pPr>
        <w:spacing w:line="276" w:lineRule="auto"/>
        <w:rPr>
          <w:rFonts w:eastAsiaTheme="minorEastAsia" w:cs="Arial"/>
        </w:rPr>
      </w:pPr>
    </w:p>
    <w:p w14:paraId="1AE6FC8E" w14:textId="070E6C7E" w:rsidR="005C1943" w:rsidRPr="00517111" w:rsidRDefault="0065675B" w:rsidP="00FA67BA">
      <w:pPr>
        <w:spacing w:line="276" w:lineRule="auto"/>
        <w:rPr>
          <w:rFonts w:eastAsiaTheme="minorEastAsia" w:cs="Arial"/>
        </w:rPr>
      </w:pPr>
      <w:r w:rsidRPr="00F615BD">
        <w:rPr>
          <w:rFonts w:eastAsiaTheme="minorEastAsia"/>
          <w:noProof/>
        </w:rPr>
        <mc:AlternateContent>
          <mc:Choice Requires="wps">
            <w:drawing>
              <wp:anchor distT="0" distB="0" distL="114300" distR="114300" simplePos="0" relativeHeight="251688960" behindDoc="0" locked="0" layoutInCell="1" allowOverlap="1" wp14:anchorId="351A5361" wp14:editId="56C0884C">
                <wp:simplePos x="0" y="0"/>
                <wp:positionH relativeFrom="margin">
                  <wp:align>right</wp:align>
                </wp:positionH>
                <wp:positionV relativeFrom="paragraph">
                  <wp:posOffset>227330</wp:posOffset>
                </wp:positionV>
                <wp:extent cx="2181225" cy="1637665"/>
                <wp:effectExtent l="0" t="0" r="9525" b="635"/>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637665"/>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5292" w14:textId="77777777" w:rsidR="00127364" w:rsidRPr="005A44FF" w:rsidRDefault="00127364"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127364" w:rsidRPr="005A44FF" w:rsidRDefault="00127364"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127364" w:rsidRPr="003D3951" w:rsidRDefault="00127364" w:rsidP="00044002">
                            <w:pPr>
                              <w:spacing w:line="276" w:lineRule="auto"/>
                              <w:jc w:val="left"/>
                              <w:rPr>
                                <w:rFonts w:cs="Arial"/>
                                <w:b/>
                                <w:szCs w:val="18"/>
                              </w:rPr>
                            </w:pPr>
                          </w:p>
                          <w:p w14:paraId="1F85193F" w14:textId="77777777" w:rsidR="00127364" w:rsidRPr="005A44FF" w:rsidRDefault="00127364"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127364" w:rsidRPr="005A44FF" w:rsidRDefault="00127364" w:rsidP="00044002">
                            <w:pPr>
                              <w:spacing w:line="276" w:lineRule="auto"/>
                              <w:jc w:val="left"/>
                              <w:rPr>
                                <w:rFonts w:cs="Arial"/>
                                <w:szCs w:val="18"/>
                              </w:rPr>
                            </w:pPr>
                            <w:r w:rsidRPr="005A44FF">
                              <w:rPr>
                                <w:rFonts w:cs="Arial"/>
                                <w:noProof/>
                                <w:szCs w:val="18"/>
                              </w:rPr>
                              <w:t>m</w:t>
                            </w:r>
                            <w:r w:rsidRPr="005A44FF">
                              <w:rPr>
                                <w:rFonts w:cs="Arial"/>
                                <w:szCs w:val="18"/>
                              </w:rPr>
                              <w:t>anažerka PR a komunikace ČBA</w:t>
                            </w:r>
                          </w:p>
                          <w:p w14:paraId="69EB82FC" w14:textId="77777777" w:rsidR="00127364" w:rsidRPr="005A44FF" w:rsidRDefault="00127364" w:rsidP="00044002">
                            <w:pPr>
                              <w:spacing w:line="276" w:lineRule="auto"/>
                              <w:jc w:val="left"/>
                              <w:rPr>
                                <w:rFonts w:cs="Arial"/>
                                <w:szCs w:val="18"/>
                              </w:rPr>
                            </w:pPr>
                            <w:r w:rsidRPr="005A44FF">
                              <w:rPr>
                                <w:rFonts w:cs="Arial"/>
                                <w:szCs w:val="18"/>
                              </w:rPr>
                              <w:t>petraskova@czech-ba.cz</w:t>
                            </w:r>
                          </w:p>
                          <w:p w14:paraId="0B0CE061" w14:textId="77777777" w:rsidR="00127364" w:rsidRPr="005A44FF" w:rsidRDefault="00127364" w:rsidP="00044002">
                            <w:pPr>
                              <w:spacing w:line="276" w:lineRule="auto"/>
                              <w:jc w:val="left"/>
                              <w:rPr>
                                <w:rFonts w:cs="Arial"/>
                                <w:szCs w:val="18"/>
                              </w:rPr>
                            </w:pPr>
                            <w:r w:rsidRPr="005A44FF">
                              <w:rPr>
                                <w:rFonts w:cs="Arial"/>
                                <w:szCs w:val="18"/>
                              </w:rPr>
                              <w:t>tel: + 420 733 130 282</w:t>
                            </w:r>
                          </w:p>
                          <w:p w14:paraId="0808B31F" w14:textId="77777777" w:rsidR="00127364" w:rsidRDefault="00127364"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0" style="position:absolute;left:0;text-align:left;margin-left:120.55pt;margin-top:17.9pt;width:171.75pt;height:128.9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6KtQIAAMAFAAAOAAAAZHJzL2Uyb0RvYy54bWysVMFu2zAMvQ/YPwi6r7bTNk2DOkXQrsOA&#10;oi3WDj0rshwbkyVNUmJnf9TDvqI/NlKy3aUrdhiWg0NK5CP5RPLsvGsk2Qrraq1ymh2klAjFdVGr&#10;dU6/Plx9mFHiPFMFk1qJnO6Eo+eL9+/OWjMXE11pWQhLAES5eWtyWnlv5knieCUa5g60EQouS20b&#10;5kG166SwrAX0RiaTNJ0mrbaFsZoL5+D0Ml7SRcAvS8H9bVk64YnMKeTmw9eG7wq/yeKMzdeWmarm&#10;fRrsH7JoWK0g6Ah1yTwjG1v/AdXU3GqnS3/AdZPosqy5CDVANVn6qpr7ihkRagFynBlpcv8Plt9s&#10;7yypi5wCm5Qo1sAj3a6K5yepnn9+I3gKHLXGzcH03tzZXnMgYsFdaRv8h1JIF3jdjbyKzhMOh5Ns&#10;lk0mx5RwuMumhyfT6TGiJi/uxjr/SeiGoJBTCw8X+GTba+ej6WCC0ZyWdXFVSxkUu15dSEu2DB85&#10;Pfl4chp9palYPD06naVHfUgXzUP4PRypEE1pxI0h8STB2mO1QfI7KdBOqi+iBOawvhAu9KwYE2Gc&#10;C+WzeFWxQsRMjlP4DZlgl6NHyCUAInIJ8UfsHmCwjCADdsyyt0dXEVp+dE7/llh0Hj1CZK386NzU&#10;Stu3ACRU1UeO9gNJkRpkyXerLnTVIVriyUoXO+g0q+MIOsOvanjqa+b8HbMwc9B9sEf8LXxKqduc&#10;6l6ipNL2x1vnaA+jALeUtDDDOXXfN8wKSuRnBUOSpTMkm/g9ze5pqz1NbZoLDV2UwdYyPIjgb70c&#10;xNLq5hFWzhIjwxVTHOLn1A/ihY/bBVYWF8tlMIJRN8xfq3vDERqZxmZ+6B6ZNX3HexiWGz1MPJu/&#10;avxoi55KLzdel3WYihdm+zeANRGaqV9puId+14PVy+Jd/AIAAP//AwBQSwMEFAAGAAgAAAAhAKqX&#10;oTffAAAABwEAAA8AAABkcnMvZG93bnJldi54bWxMz01Lw0AQBuC74H9YRvBmNzaNHzGTUgoFQVRs&#10;0/tmsyahu7Mhu23Tf+940uPwDu88UywnZ8XJjKH3hHA/S0AY0r7pqUWodpu7JxAhKmqU9WQQLibA&#10;sry+KlTe+DN9mdM2toJLKOQKoYtxyKUMujNOhZkfDHH27UenIo9jK5tRnbncWTlPkgfpVE98oVOD&#10;WXdGH7ZHh7BaX+xHtcjeqo1+PdRyt9fvn3vE25tp9QIimin+LcMvn+lQsqn2R2qCsAj8SERIM/Zz&#10;mi7SDESNMH9OH0GWhfzvL38AAAD//wMAUEsBAi0AFAAGAAgAAAAhALaDOJL+AAAA4QEAABMAAAAA&#10;AAAAAAAAAAAAAAAAAFtDb250ZW50X1R5cGVzXS54bWxQSwECLQAUAAYACAAAACEAOP0h/9YAAACU&#10;AQAACwAAAAAAAAAAAAAAAAAvAQAAX3JlbHMvLnJlbHNQSwECLQAUAAYACAAAACEA4emeirUCAADA&#10;BQAADgAAAAAAAAAAAAAAAAAuAgAAZHJzL2Uyb0RvYy54bWxQSwECLQAUAAYACAAAACEAqpehN98A&#10;AAAHAQAADwAAAAAAAAAAAAAAAAAPBQAAZHJzL2Rvd25yZXYueG1sUEsFBgAAAAAEAAQA8wAAABsG&#10;AAAAAA==&#10;" fillcolor="#007e79" stroked="f" strokeweight="1pt">
                <v:fill opacity="32639f"/>
                <v:textbox inset="3mm,3mm,3mm,3mm">
                  <w:txbxContent>
                    <w:p w14:paraId="7AC95292" w14:textId="77777777" w:rsidR="00127364" w:rsidRPr="005A44FF" w:rsidRDefault="00127364"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127364" w:rsidRPr="005A44FF" w:rsidRDefault="00127364"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127364" w:rsidRPr="003D3951" w:rsidRDefault="00127364" w:rsidP="00044002">
                      <w:pPr>
                        <w:spacing w:line="276" w:lineRule="auto"/>
                        <w:jc w:val="left"/>
                        <w:rPr>
                          <w:rFonts w:cs="Arial"/>
                          <w:b/>
                          <w:szCs w:val="18"/>
                        </w:rPr>
                      </w:pPr>
                    </w:p>
                    <w:p w14:paraId="1F85193F" w14:textId="77777777" w:rsidR="00127364" w:rsidRPr="005A44FF" w:rsidRDefault="00127364"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127364" w:rsidRPr="005A44FF" w:rsidRDefault="00127364"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127364" w:rsidRPr="005A44FF" w:rsidRDefault="00127364" w:rsidP="00044002">
                      <w:pPr>
                        <w:spacing w:line="276" w:lineRule="auto"/>
                        <w:jc w:val="left"/>
                        <w:rPr>
                          <w:rFonts w:cs="Arial"/>
                          <w:szCs w:val="18"/>
                        </w:rPr>
                      </w:pPr>
                      <w:r w:rsidRPr="005A44FF">
                        <w:rPr>
                          <w:rFonts w:cs="Arial"/>
                          <w:szCs w:val="18"/>
                        </w:rPr>
                        <w:t>petraskova@czech-ba.cz</w:t>
                      </w:r>
                    </w:p>
                    <w:p w14:paraId="0B0CE061" w14:textId="77777777" w:rsidR="00127364" w:rsidRPr="005A44FF" w:rsidRDefault="00127364" w:rsidP="00044002">
                      <w:pPr>
                        <w:spacing w:line="276" w:lineRule="auto"/>
                        <w:jc w:val="left"/>
                        <w:rPr>
                          <w:rFonts w:cs="Arial"/>
                          <w:szCs w:val="18"/>
                        </w:rPr>
                      </w:pPr>
                      <w:r w:rsidRPr="005A44FF">
                        <w:rPr>
                          <w:rFonts w:cs="Arial"/>
                          <w:szCs w:val="18"/>
                        </w:rPr>
                        <w:t>tel: + 420 733 130 282</w:t>
                      </w:r>
                    </w:p>
                    <w:p w14:paraId="0808B31F" w14:textId="77777777" w:rsidR="00127364" w:rsidRDefault="00127364" w:rsidP="00044002">
                      <w:pPr>
                        <w:jc w:val="left"/>
                      </w:pPr>
                    </w:p>
                  </w:txbxContent>
                </v:textbox>
                <w10:wrap type="square" anchorx="margin"/>
              </v:rect>
            </w:pict>
          </mc:Fallback>
        </mc:AlternateContent>
      </w:r>
      <w:r w:rsidRPr="00F615BD">
        <w:rPr>
          <w:rFonts w:eastAsiaTheme="minorEastAsia"/>
          <w:noProof/>
        </w:rPr>
        <mc:AlternateContent>
          <mc:Choice Requires="wps">
            <w:drawing>
              <wp:anchor distT="0" distB="0" distL="114300" distR="114300" simplePos="0" relativeHeight="251686912" behindDoc="0" locked="0" layoutInCell="1" allowOverlap="1" wp14:anchorId="12989396" wp14:editId="028F67A9">
                <wp:simplePos x="0" y="0"/>
                <wp:positionH relativeFrom="margin">
                  <wp:align>left</wp:align>
                </wp:positionH>
                <wp:positionV relativeFrom="paragraph">
                  <wp:posOffset>227330</wp:posOffset>
                </wp:positionV>
                <wp:extent cx="4111625" cy="1637665"/>
                <wp:effectExtent l="0" t="0" r="3175" b="635"/>
                <wp:wrapSquare wrapText="bothSides"/>
                <wp:docPr id="199" name="Obdélník 199"/>
                <wp:cNvGraphicFramePr/>
                <a:graphic xmlns:a="http://schemas.openxmlformats.org/drawingml/2006/main">
                  <a:graphicData uri="http://schemas.microsoft.com/office/word/2010/wordprocessingShape">
                    <wps:wsp>
                      <wps:cNvSpPr/>
                      <wps:spPr>
                        <a:xfrm>
                          <a:off x="0" y="0"/>
                          <a:ext cx="4111625"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60DE" w14:textId="77777777" w:rsidR="00127364" w:rsidRPr="005A44FF" w:rsidRDefault="00127364"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127364" w:rsidRPr="00F67E6A" w:rsidRDefault="00127364"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1" style="position:absolute;left:0;text-align:left;margin-left:0;margin-top:17.9pt;width:323.75pt;height:128.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G6rgIAAMIFAAAOAAAAZHJzL2Uyb0RvYy54bWysVM1O3DAQvlfqO1i+lyRbWGBFFq1AVJUo&#10;oELF2es4m6i2x7W9m92+UQ99Cl6sYzsJXYp6qHpJZsYz3/zP2flWSbIR1rWgS1oc5JQIzaFq9aqk&#10;Xx6u3p1Q4jzTFZOgRUl3wtHz+ds3Z52ZiQk0ICthCYJoN+tMSRvvzSzLHG+EYu4AjND4WINVzCNr&#10;V1llWYfoSmaTPJ9mHdjKWODCOZRepkc6j/h1Lbi/rWsnPJElxdh8/Nr4XYZvNj9js5Vlpml5Hwb7&#10;hygUazU6HaEumWdkbds/oFTLLTio/QEHlUFdt1zEHDCbIn+RzX3DjIi5YHGcGcvk/h8sv9ncWdJW&#10;2LvTU0o0U9ik22X19EPqp59fSZBijTrjZqh6b+5szzkkQ8Lb2qrwx1TINtZ1N9ZVbD3hKDwsimI6&#10;OaKE41sxfX88nR4F1OzZ3FjnPwhQJBAltdi4WE+2uXY+qQ4qwZsD2VZXrZSRCcMiLqQlG4ZtXq6K&#10;aCrX6hNUSXZ8lOex2egyzlZQjwHsIUkd8DQE5OQ0SLKQfco3Un4nRdCT+rOosXaY4SR6HJGTU8a5&#10;0D4F4xpWiSQOobweSwQMyDX6H7F7gP0kB+wUZa8fTEUc+tE4/1tgyXi0iJ5B+9FYtRrsawASs+o9&#10;J/2hSKk0oUp+u9zGuToc5mcJ1Q5nzUJaQmf4VYvNvmbO3zGLW4f7iZfE3+KnltCVFHqKkgbs99fk&#10;QR+XAV8p6XCLS+q+rZkVlMiPGtekyE9CsYnf4+wet9zj9FpdAE5RgXfL8EiivfVyIGsL6hGPziJ4&#10;xiemOfovqR/IC5/uCx4tLhaLqITLbpi/1veGB+hQ6TDOD9tHZk0/8x7X5QaGnWezF6OfdIOlhsXa&#10;Q93GvQi1TpXte4CHIg52f9TCJfqdj1rPp3f+CwAA//8DAFBLAwQUAAYACAAAACEA6HP77NsAAAAH&#10;AQAADwAAAGRycy9kb3ducmV2LnhtbEyPzU7DMBCE70i8g7VI3KhDQvoT4lQIiQsnKBXiuI23SUS8&#10;DrGbhrdnOcFxNKOZb8rt7Ho10Rg6zwZuFwko4trbjhsD+7enmzWoEJEt9p7JwDcF2FaXFyUW1p/5&#10;laZdbJSUcCjQQBvjUGgd6pYchoUfiMU7+tFhFDk22o54lnLX6zRJltphx7LQ4kCPLdWfu5OT3XV4&#10;+Up5yp7f95h/oB50EnNjrq/mh3tQkeb4F4ZffEGHSpgO/sQ2qN6AHIkGslz4xV3erXJQBwPpJluB&#10;rkr9n7/6AQAA//8DAFBLAQItABQABgAIAAAAIQC2gziS/gAAAOEBAAATAAAAAAAAAAAAAAAAAAAA&#10;AABbQ29udGVudF9UeXBlc10ueG1sUEsBAi0AFAAGAAgAAAAhADj9If/WAAAAlAEAAAsAAAAAAAAA&#10;AAAAAAAALwEAAF9yZWxzLy5yZWxzUEsBAi0AFAAGAAgAAAAhAGXo0bquAgAAwgUAAA4AAAAAAAAA&#10;AAAAAAAALgIAAGRycy9lMm9Eb2MueG1sUEsBAi0AFAAGAAgAAAAhAOhz++zbAAAABwEAAA8AAAAA&#10;AAAAAAAAAAAACAUAAGRycy9kb3ducmV2LnhtbFBLBQYAAAAABAAEAPMAAAAQBgAAAAA=&#10;" fillcolor="#bfbfbf [2412]" stroked="f" strokeweight="1pt">
                <v:textbox inset="3mm,3mm,3mm,3mm">
                  <w:txbxContent>
                    <w:p w14:paraId="4C1160DE" w14:textId="77777777" w:rsidR="00127364" w:rsidRPr="005A44FF" w:rsidRDefault="00127364"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127364" w:rsidRPr="00F67E6A" w:rsidRDefault="00127364"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v:textbox>
                <w10:wrap type="square" anchorx="margin"/>
              </v:rect>
            </w:pict>
          </mc:Fallback>
        </mc:AlternateContent>
      </w:r>
    </w:p>
    <w:sectPr w:rsidR="005C1943" w:rsidRPr="00517111" w:rsidSect="00D36FE1">
      <w:headerReference w:type="default" r:id="rId10"/>
      <w:footerReference w:type="default" r:id="rId11"/>
      <w:pgSz w:w="11906" w:h="16838"/>
      <w:pgMar w:top="2552" w:right="851"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32AC" w14:textId="77777777" w:rsidR="000D728C" w:rsidRDefault="000D728C" w:rsidP="00F573F1">
      <w:r>
        <w:separator/>
      </w:r>
    </w:p>
  </w:endnote>
  <w:endnote w:type="continuationSeparator" w:id="0">
    <w:p w14:paraId="1AAE2043" w14:textId="77777777" w:rsidR="000D728C" w:rsidRDefault="000D728C" w:rsidP="00F573F1">
      <w:r>
        <w:continuationSeparator/>
      </w:r>
    </w:p>
  </w:endnote>
  <w:endnote w:type="continuationNotice" w:id="1">
    <w:p w14:paraId="35662EFC" w14:textId="77777777" w:rsidR="000D728C" w:rsidRDefault="000D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915778797"/>
      <w:docPartObj>
        <w:docPartGallery w:val="Page Numbers (Bottom of Page)"/>
        <w:docPartUnique/>
      </w:docPartObj>
    </w:sdtPr>
    <w:sdtEndPr/>
    <w:sdtContent>
      <w:p w14:paraId="13CE44BD" w14:textId="19AD0DE1" w:rsidR="00127364" w:rsidRPr="00FB4A1C" w:rsidRDefault="00127364">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Pr>
            <w:noProof/>
            <w:color w:val="A6A6A6" w:themeColor="background1" w:themeShade="A6"/>
            <w:sz w:val="14"/>
          </w:rPr>
          <w:t>4</w:t>
        </w:r>
        <w:r w:rsidRPr="00FB4A1C">
          <w:rPr>
            <w:color w:val="A6A6A6" w:themeColor="background1" w:themeShade="A6"/>
            <w:sz w:val="14"/>
          </w:rPr>
          <w:fldChar w:fldCharType="end"/>
        </w:r>
      </w:p>
    </w:sdtContent>
  </w:sdt>
  <w:p w14:paraId="6B2FBE8E" w14:textId="77777777" w:rsidR="00127364" w:rsidRPr="00FB4A1C" w:rsidRDefault="00127364"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394A" w14:textId="77777777" w:rsidR="000D728C" w:rsidRDefault="000D728C" w:rsidP="00F573F1">
      <w:r>
        <w:separator/>
      </w:r>
    </w:p>
  </w:footnote>
  <w:footnote w:type="continuationSeparator" w:id="0">
    <w:p w14:paraId="721F75AB" w14:textId="77777777" w:rsidR="000D728C" w:rsidRDefault="000D728C" w:rsidP="00F573F1">
      <w:r>
        <w:continuationSeparator/>
      </w:r>
    </w:p>
  </w:footnote>
  <w:footnote w:type="continuationNotice" w:id="1">
    <w:p w14:paraId="51FE0A05" w14:textId="77777777" w:rsidR="000D728C" w:rsidRDefault="000D7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06E3" w14:textId="52D82906" w:rsidR="00127364" w:rsidRDefault="00127364">
    <w:pPr>
      <w:pStyle w:val="Zhlav"/>
    </w:pPr>
    <w:r w:rsidRPr="00F615BD">
      <w:rPr>
        <w:noProof/>
      </w:rPr>
      <w:drawing>
        <wp:anchor distT="0" distB="0" distL="114300" distR="114300" simplePos="0" relativeHeight="251659264" behindDoc="1" locked="0" layoutInCell="1" allowOverlap="1" wp14:anchorId="08F9921F" wp14:editId="696766EE">
          <wp:simplePos x="0" y="0"/>
          <wp:positionH relativeFrom="page">
            <wp:posOffset>112395</wp:posOffset>
          </wp:positionH>
          <wp:positionV relativeFrom="paragraph">
            <wp:posOffset>-413385</wp:posOffset>
          </wp:positionV>
          <wp:extent cx="3196206" cy="1612900"/>
          <wp:effectExtent l="0" t="0" r="4445"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8A7"/>
    <w:multiLevelType w:val="hybridMultilevel"/>
    <w:tmpl w:val="ADD42E08"/>
    <w:lvl w:ilvl="0" w:tplc="9B0CBF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15A72"/>
    <w:multiLevelType w:val="hybridMultilevel"/>
    <w:tmpl w:val="4222A8D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86F60"/>
    <w:multiLevelType w:val="hybridMultilevel"/>
    <w:tmpl w:val="3232EEBE"/>
    <w:lvl w:ilvl="0" w:tplc="491E84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C57BCF"/>
    <w:multiLevelType w:val="hybridMultilevel"/>
    <w:tmpl w:val="3554269C"/>
    <w:lvl w:ilvl="0" w:tplc="F52C1D16">
      <w:numFmt w:val="bullet"/>
      <w:lvlText w:val="-"/>
      <w:lvlJc w:val="left"/>
      <w:pPr>
        <w:ind w:left="720" w:hanging="360"/>
      </w:pPr>
      <w:rPr>
        <w:rFonts w:ascii="Calibri" w:eastAsia="PMingLiU"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B26451B"/>
    <w:multiLevelType w:val="hybridMultilevel"/>
    <w:tmpl w:val="C1DEF65C"/>
    <w:lvl w:ilvl="0" w:tplc="0E7285A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6087"/>
    <w:rsid w:val="00023000"/>
    <w:rsid w:val="00030A4E"/>
    <w:rsid w:val="000419CA"/>
    <w:rsid w:val="00044002"/>
    <w:rsid w:val="00055376"/>
    <w:rsid w:val="00066333"/>
    <w:rsid w:val="0007096D"/>
    <w:rsid w:val="00082E1D"/>
    <w:rsid w:val="0008565C"/>
    <w:rsid w:val="00087849"/>
    <w:rsid w:val="00092ACE"/>
    <w:rsid w:val="00097B97"/>
    <w:rsid w:val="000A086B"/>
    <w:rsid w:val="000A1EA1"/>
    <w:rsid w:val="000A337A"/>
    <w:rsid w:val="000B4814"/>
    <w:rsid w:val="000C1155"/>
    <w:rsid w:val="000D1977"/>
    <w:rsid w:val="000D1B44"/>
    <w:rsid w:val="000D5D2B"/>
    <w:rsid w:val="000D728C"/>
    <w:rsid w:val="000E1DF8"/>
    <w:rsid w:val="000E2D75"/>
    <w:rsid w:val="000E3A69"/>
    <w:rsid w:val="000F34A7"/>
    <w:rsid w:val="00100B73"/>
    <w:rsid w:val="001018CB"/>
    <w:rsid w:val="00105C84"/>
    <w:rsid w:val="0011443F"/>
    <w:rsid w:val="00115379"/>
    <w:rsid w:val="00115462"/>
    <w:rsid w:val="00125474"/>
    <w:rsid w:val="001262D3"/>
    <w:rsid w:val="00127364"/>
    <w:rsid w:val="00147E43"/>
    <w:rsid w:val="00153D1F"/>
    <w:rsid w:val="00156EF2"/>
    <w:rsid w:val="00186E9F"/>
    <w:rsid w:val="001914C2"/>
    <w:rsid w:val="00195C6D"/>
    <w:rsid w:val="001A7786"/>
    <w:rsid w:val="001B69C3"/>
    <w:rsid w:val="001C0DF4"/>
    <w:rsid w:val="001C297A"/>
    <w:rsid w:val="001C7F27"/>
    <w:rsid w:val="001D5BB9"/>
    <w:rsid w:val="001E4A94"/>
    <w:rsid w:val="001E6147"/>
    <w:rsid w:val="001E6405"/>
    <w:rsid w:val="001E7969"/>
    <w:rsid w:val="001F019E"/>
    <w:rsid w:val="00224F0E"/>
    <w:rsid w:val="00245099"/>
    <w:rsid w:val="00251963"/>
    <w:rsid w:val="00263F96"/>
    <w:rsid w:val="00267ACA"/>
    <w:rsid w:val="00277774"/>
    <w:rsid w:val="002878FD"/>
    <w:rsid w:val="0029131D"/>
    <w:rsid w:val="00296BA2"/>
    <w:rsid w:val="002B273C"/>
    <w:rsid w:val="002D12BD"/>
    <w:rsid w:val="002D1376"/>
    <w:rsid w:val="002E732D"/>
    <w:rsid w:val="002F477C"/>
    <w:rsid w:val="00302451"/>
    <w:rsid w:val="00302716"/>
    <w:rsid w:val="00316A23"/>
    <w:rsid w:val="00320075"/>
    <w:rsid w:val="00320A31"/>
    <w:rsid w:val="00327407"/>
    <w:rsid w:val="003401BC"/>
    <w:rsid w:val="00343CB8"/>
    <w:rsid w:val="0035571B"/>
    <w:rsid w:val="00360F61"/>
    <w:rsid w:val="0036442C"/>
    <w:rsid w:val="003654CD"/>
    <w:rsid w:val="003677A0"/>
    <w:rsid w:val="00367F9E"/>
    <w:rsid w:val="00370F35"/>
    <w:rsid w:val="003713E7"/>
    <w:rsid w:val="00373D9D"/>
    <w:rsid w:val="00380C99"/>
    <w:rsid w:val="0039044E"/>
    <w:rsid w:val="00391FA6"/>
    <w:rsid w:val="003947A8"/>
    <w:rsid w:val="003948A2"/>
    <w:rsid w:val="003952ED"/>
    <w:rsid w:val="003C3D7F"/>
    <w:rsid w:val="003D104A"/>
    <w:rsid w:val="003D5446"/>
    <w:rsid w:val="003E31EA"/>
    <w:rsid w:val="003E3DCB"/>
    <w:rsid w:val="003E4473"/>
    <w:rsid w:val="003F1CB9"/>
    <w:rsid w:val="003F2B91"/>
    <w:rsid w:val="003F7F31"/>
    <w:rsid w:val="0040072F"/>
    <w:rsid w:val="00401322"/>
    <w:rsid w:val="00405417"/>
    <w:rsid w:val="00405C26"/>
    <w:rsid w:val="00416028"/>
    <w:rsid w:val="00416A62"/>
    <w:rsid w:val="00420888"/>
    <w:rsid w:val="0042113A"/>
    <w:rsid w:val="00437589"/>
    <w:rsid w:val="004672E4"/>
    <w:rsid w:val="0049113D"/>
    <w:rsid w:val="004951D0"/>
    <w:rsid w:val="004A1724"/>
    <w:rsid w:val="004A7ABD"/>
    <w:rsid w:val="004B74EC"/>
    <w:rsid w:val="004C389E"/>
    <w:rsid w:val="004D5EDF"/>
    <w:rsid w:val="004E1AC6"/>
    <w:rsid w:val="004E6615"/>
    <w:rsid w:val="005044E1"/>
    <w:rsid w:val="00504D52"/>
    <w:rsid w:val="00505850"/>
    <w:rsid w:val="00517111"/>
    <w:rsid w:val="00520AEA"/>
    <w:rsid w:val="00521B07"/>
    <w:rsid w:val="005242EE"/>
    <w:rsid w:val="00527C61"/>
    <w:rsid w:val="005354AE"/>
    <w:rsid w:val="00537515"/>
    <w:rsid w:val="00555B91"/>
    <w:rsid w:val="00562D02"/>
    <w:rsid w:val="005642DD"/>
    <w:rsid w:val="00566774"/>
    <w:rsid w:val="00577677"/>
    <w:rsid w:val="005970F0"/>
    <w:rsid w:val="005A2501"/>
    <w:rsid w:val="005A44FF"/>
    <w:rsid w:val="005C1943"/>
    <w:rsid w:val="005C60BB"/>
    <w:rsid w:val="005C6A0D"/>
    <w:rsid w:val="005C6D52"/>
    <w:rsid w:val="005C6DB6"/>
    <w:rsid w:val="005D0910"/>
    <w:rsid w:val="005D42A6"/>
    <w:rsid w:val="005E58E1"/>
    <w:rsid w:val="005E5B24"/>
    <w:rsid w:val="005F0A8A"/>
    <w:rsid w:val="00603141"/>
    <w:rsid w:val="00604274"/>
    <w:rsid w:val="0060552B"/>
    <w:rsid w:val="00611C5C"/>
    <w:rsid w:val="00614E76"/>
    <w:rsid w:val="00625533"/>
    <w:rsid w:val="00626382"/>
    <w:rsid w:val="00630B2D"/>
    <w:rsid w:val="00634E07"/>
    <w:rsid w:val="00640878"/>
    <w:rsid w:val="006454CC"/>
    <w:rsid w:val="0064668C"/>
    <w:rsid w:val="006478ED"/>
    <w:rsid w:val="006520AA"/>
    <w:rsid w:val="00653FBB"/>
    <w:rsid w:val="0065675B"/>
    <w:rsid w:val="006642E5"/>
    <w:rsid w:val="0066436B"/>
    <w:rsid w:val="006669D1"/>
    <w:rsid w:val="00667BA1"/>
    <w:rsid w:val="0067027E"/>
    <w:rsid w:val="00675D0C"/>
    <w:rsid w:val="00683E88"/>
    <w:rsid w:val="006952F0"/>
    <w:rsid w:val="006963D2"/>
    <w:rsid w:val="006B19D1"/>
    <w:rsid w:val="006B2F86"/>
    <w:rsid w:val="006B4B3B"/>
    <w:rsid w:val="006B60A6"/>
    <w:rsid w:val="006B7DE5"/>
    <w:rsid w:val="006C3FAB"/>
    <w:rsid w:val="006C4385"/>
    <w:rsid w:val="006C6CFF"/>
    <w:rsid w:val="006C6D8D"/>
    <w:rsid w:val="006C6DCB"/>
    <w:rsid w:val="006D23EF"/>
    <w:rsid w:val="006D3D9F"/>
    <w:rsid w:val="006D7467"/>
    <w:rsid w:val="006D74B0"/>
    <w:rsid w:val="006E0634"/>
    <w:rsid w:val="006E0DB3"/>
    <w:rsid w:val="006E1DBB"/>
    <w:rsid w:val="006E335A"/>
    <w:rsid w:val="006F0636"/>
    <w:rsid w:val="00700BFA"/>
    <w:rsid w:val="00730B38"/>
    <w:rsid w:val="00734471"/>
    <w:rsid w:val="00742971"/>
    <w:rsid w:val="00744504"/>
    <w:rsid w:val="00746582"/>
    <w:rsid w:val="00747C2E"/>
    <w:rsid w:val="00754744"/>
    <w:rsid w:val="00755B46"/>
    <w:rsid w:val="00763B48"/>
    <w:rsid w:val="007725F7"/>
    <w:rsid w:val="007B02A8"/>
    <w:rsid w:val="007C2F0D"/>
    <w:rsid w:val="007C4C83"/>
    <w:rsid w:val="007C64E9"/>
    <w:rsid w:val="007D4025"/>
    <w:rsid w:val="007D52B7"/>
    <w:rsid w:val="007E4AA4"/>
    <w:rsid w:val="007F16CA"/>
    <w:rsid w:val="007F40D6"/>
    <w:rsid w:val="007F6300"/>
    <w:rsid w:val="00801132"/>
    <w:rsid w:val="00803E55"/>
    <w:rsid w:val="00806020"/>
    <w:rsid w:val="00807E24"/>
    <w:rsid w:val="00807F85"/>
    <w:rsid w:val="00811FE2"/>
    <w:rsid w:val="00820585"/>
    <w:rsid w:val="008315F2"/>
    <w:rsid w:val="008404DA"/>
    <w:rsid w:val="00847E22"/>
    <w:rsid w:val="00854190"/>
    <w:rsid w:val="00864495"/>
    <w:rsid w:val="00864AC0"/>
    <w:rsid w:val="008667B0"/>
    <w:rsid w:val="00870102"/>
    <w:rsid w:val="008722D9"/>
    <w:rsid w:val="00872847"/>
    <w:rsid w:val="00875737"/>
    <w:rsid w:val="00882583"/>
    <w:rsid w:val="0088279B"/>
    <w:rsid w:val="008857AA"/>
    <w:rsid w:val="00897332"/>
    <w:rsid w:val="008B6D55"/>
    <w:rsid w:val="008C3B72"/>
    <w:rsid w:val="008D0F71"/>
    <w:rsid w:val="008D5313"/>
    <w:rsid w:val="008E265E"/>
    <w:rsid w:val="008F11D5"/>
    <w:rsid w:val="008F3D08"/>
    <w:rsid w:val="009065D8"/>
    <w:rsid w:val="009139AF"/>
    <w:rsid w:val="00915CEC"/>
    <w:rsid w:val="009430BD"/>
    <w:rsid w:val="00944D10"/>
    <w:rsid w:val="00950AD8"/>
    <w:rsid w:val="0095568B"/>
    <w:rsid w:val="00977317"/>
    <w:rsid w:val="009A4D08"/>
    <w:rsid w:val="009A5048"/>
    <w:rsid w:val="009B7D7F"/>
    <w:rsid w:val="009C63C2"/>
    <w:rsid w:val="009E0472"/>
    <w:rsid w:val="009F569C"/>
    <w:rsid w:val="00A020B8"/>
    <w:rsid w:val="00A144A3"/>
    <w:rsid w:val="00A2430B"/>
    <w:rsid w:val="00A248E2"/>
    <w:rsid w:val="00A2750F"/>
    <w:rsid w:val="00A415DD"/>
    <w:rsid w:val="00A41BA7"/>
    <w:rsid w:val="00A42EAA"/>
    <w:rsid w:val="00A43387"/>
    <w:rsid w:val="00A6286E"/>
    <w:rsid w:val="00A7019E"/>
    <w:rsid w:val="00A7149F"/>
    <w:rsid w:val="00A71F9A"/>
    <w:rsid w:val="00A72405"/>
    <w:rsid w:val="00A732A1"/>
    <w:rsid w:val="00A8750A"/>
    <w:rsid w:val="00A90878"/>
    <w:rsid w:val="00AA1435"/>
    <w:rsid w:val="00AA24D9"/>
    <w:rsid w:val="00AA2604"/>
    <w:rsid w:val="00AC1037"/>
    <w:rsid w:val="00AD46FA"/>
    <w:rsid w:val="00AE125F"/>
    <w:rsid w:val="00AE3164"/>
    <w:rsid w:val="00AE69C7"/>
    <w:rsid w:val="00AF11ED"/>
    <w:rsid w:val="00AF4DF3"/>
    <w:rsid w:val="00B03E8F"/>
    <w:rsid w:val="00B04775"/>
    <w:rsid w:val="00B067AB"/>
    <w:rsid w:val="00B16F18"/>
    <w:rsid w:val="00B27646"/>
    <w:rsid w:val="00B3003D"/>
    <w:rsid w:val="00B373CC"/>
    <w:rsid w:val="00B445A6"/>
    <w:rsid w:val="00B506AC"/>
    <w:rsid w:val="00B76371"/>
    <w:rsid w:val="00B95673"/>
    <w:rsid w:val="00B97579"/>
    <w:rsid w:val="00B97D6A"/>
    <w:rsid w:val="00BC0374"/>
    <w:rsid w:val="00BC15D2"/>
    <w:rsid w:val="00BC61FC"/>
    <w:rsid w:val="00BD51B7"/>
    <w:rsid w:val="00BD7B5A"/>
    <w:rsid w:val="00BF48A4"/>
    <w:rsid w:val="00BF58BD"/>
    <w:rsid w:val="00BF73F4"/>
    <w:rsid w:val="00C01CB1"/>
    <w:rsid w:val="00C17244"/>
    <w:rsid w:val="00C31BC2"/>
    <w:rsid w:val="00C33B31"/>
    <w:rsid w:val="00C33D93"/>
    <w:rsid w:val="00C50104"/>
    <w:rsid w:val="00C552C2"/>
    <w:rsid w:val="00C617BE"/>
    <w:rsid w:val="00C66678"/>
    <w:rsid w:val="00C71D3C"/>
    <w:rsid w:val="00C7383D"/>
    <w:rsid w:val="00C74048"/>
    <w:rsid w:val="00C847EC"/>
    <w:rsid w:val="00C93158"/>
    <w:rsid w:val="00C975C9"/>
    <w:rsid w:val="00C97815"/>
    <w:rsid w:val="00CA6B72"/>
    <w:rsid w:val="00CA7866"/>
    <w:rsid w:val="00CB552A"/>
    <w:rsid w:val="00CB6D21"/>
    <w:rsid w:val="00CB6EC2"/>
    <w:rsid w:val="00CB79A1"/>
    <w:rsid w:val="00CC7510"/>
    <w:rsid w:val="00CD149B"/>
    <w:rsid w:val="00CD214E"/>
    <w:rsid w:val="00CD4F2C"/>
    <w:rsid w:val="00CD7450"/>
    <w:rsid w:val="00CE0212"/>
    <w:rsid w:val="00CE1014"/>
    <w:rsid w:val="00CF04CA"/>
    <w:rsid w:val="00D04BC7"/>
    <w:rsid w:val="00D10717"/>
    <w:rsid w:val="00D13645"/>
    <w:rsid w:val="00D157A4"/>
    <w:rsid w:val="00D17D09"/>
    <w:rsid w:val="00D20916"/>
    <w:rsid w:val="00D2261D"/>
    <w:rsid w:val="00D36FE1"/>
    <w:rsid w:val="00D45BA3"/>
    <w:rsid w:val="00D57204"/>
    <w:rsid w:val="00D63238"/>
    <w:rsid w:val="00D73A84"/>
    <w:rsid w:val="00D7566D"/>
    <w:rsid w:val="00D77C73"/>
    <w:rsid w:val="00D87B97"/>
    <w:rsid w:val="00D92926"/>
    <w:rsid w:val="00D97A26"/>
    <w:rsid w:val="00D97E49"/>
    <w:rsid w:val="00DC328A"/>
    <w:rsid w:val="00DC4924"/>
    <w:rsid w:val="00DE70AE"/>
    <w:rsid w:val="00E00EC4"/>
    <w:rsid w:val="00E01CBE"/>
    <w:rsid w:val="00E10053"/>
    <w:rsid w:val="00E10472"/>
    <w:rsid w:val="00E23E0B"/>
    <w:rsid w:val="00E23F00"/>
    <w:rsid w:val="00E3317B"/>
    <w:rsid w:val="00E3386F"/>
    <w:rsid w:val="00E3424D"/>
    <w:rsid w:val="00E52EE1"/>
    <w:rsid w:val="00E77101"/>
    <w:rsid w:val="00E8787F"/>
    <w:rsid w:val="00E92D8C"/>
    <w:rsid w:val="00EA05BA"/>
    <w:rsid w:val="00EB2C64"/>
    <w:rsid w:val="00EB36AD"/>
    <w:rsid w:val="00EB62D7"/>
    <w:rsid w:val="00ED2F8C"/>
    <w:rsid w:val="00ED452D"/>
    <w:rsid w:val="00F0467A"/>
    <w:rsid w:val="00F14133"/>
    <w:rsid w:val="00F20F0C"/>
    <w:rsid w:val="00F32F3A"/>
    <w:rsid w:val="00F35ABF"/>
    <w:rsid w:val="00F4204D"/>
    <w:rsid w:val="00F462BC"/>
    <w:rsid w:val="00F52FD1"/>
    <w:rsid w:val="00F545AC"/>
    <w:rsid w:val="00F573F1"/>
    <w:rsid w:val="00F615BD"/>
    <w:rsid w:val="00F6767A"/>
    <w:rsid w:val="00F67E6A"/>
    <w:rsid w:val="00F860F7"/>
    <w:rsid w:val="00FA3413"/>
    <w:rsid w:val="00FA67BA"/>
    <w:rsid w:val="00FA7186"/>
    <w:rsid w:val="00FA7198"/>
    <w:rsid w:val="00FB115F"/>
    <w:rsid w:val="00FB4A1C"/>
    <w:rsid w:val="00FB504D"/>
    <w:rsid w:val="00FB5CD9"/>
    <w:rsid w:val="00FC232B"/>
    <w:rsid w:val="00FD12DB"/>
    <w:rsid w:val="00FD57E2"/>
    <w:rsid w:val="00FE0108"/>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3594D"/>
  <w15:docId w15:val="{F6007DED-64BE-4E05-A6E6-756A95A4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semiHidden/>
    <w:unhideWhenUsed/>
    <w:rsid w:val="00744504"/>
    <w:rPr>
      <w:sz w:val="20"/>
    </w:rPr>
  </w:style>
  <w:style w:type="character" w:customStyle="1" w:styleId="TextkomenteChar">
    <w:name w:val="Text komentáře Char"/>
    <w:basedOn w:val="Standardnpsmoodstavce"/>
    <w:link w:val="Textkomente"/>
    <w:uiPriority w:val="99"/>
    <w:semiHidden/>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 w:type="paragraph" w:customStyle="1" w:styleId="Default">
    <w:name w:val="Default"/>
    <w:rsid w:val="006E1DBB"/>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47C2E"/>
    <w:pPr>
      <w:spacing w:after="0" w:line="240" w:lineRule="auto"/>
    </w:pPr>
    <w:rPr>
      <w:rFonts w:ascii="Arial" w:eastAsia="Times New Roman" w:hAnsi="Arial" w:cs="Times New Roman"/>
      <w:sz w:val="18"/>
      <w:szCs w:val="20"/>
      <w:lang w:eastAsia="cs-CZ"/>
    </w:rPr>
  </w:style>
  <w:style w:type="character" w:styleId="Nevyeenzmnka">
    <w:name w:val="Unresolved Mention"/>
    <w:basedOn w:val="Standardnpsmoodstavce"/>
    <w:uiPriority w:val="99"/>
    <w:semiHidden/>
    <w:unhideWhenUsed/>
    <w:rsid w:val="00F0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0258">
      <w:bodyDiv w:val="1"/>
      <w:marLeft w:val="0"/>
      <w:marRight w:val="0"/>
      <w:marTop w:val="0"/>
      <w:marBottom w:val="0"/>
      <w:divBdr>
        <w:top w:val="none" w:sz="0" w:space="0" w:color="auto"/>
        <w:left w:val="none" w:sz="0" w:space="0" w:color="auto"/>
        <w:bottom w:val="none" w:sz="0" w:space="0" w:color="auto"/>
        <w:right w:val="none" w:sz="0" w:space="0" w:color="auto"/>
      </w:divBdr>
    </w:div>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24623487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389623159">
      <w:bodyDiv w:val="1"/>
      <w:marLeft w:val="0"/>
      <w:marRight w:val="0"/>
      <w:marTop w:val="0"/>
      <w:marBottom w:val="0"/>
      <w:divBdr>
        <w:top w:val="none" w:sz="0" w:space="0" w:color="auto"/>
        <w:left w:val="none" w:sz="0" w:space="0" w:color="auto"/>
        <w:bottom w:val="none" w:sz="0" w:space="0" w:color="auto"/>
        <w:right w:val="none" w:sz="0" w:space="0" w:color="auto"/>
      </w:divBdr>
    </w:div>
    <w:div w:id="744883708">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509517607">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2011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aonline.cz/makroekonomicka-prognoza-cba-leden-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baonline.cz/makroekonomicka-neprognoza-cba-v-dobe-koronavirove-duben-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C335-DF41-4963-955C-E57E499F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2058</Words>
  <Characters>12143</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UGIS</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vlachova</dc:creator>
  <cp:lastModifiedBy>Andrea Trudičová</cp:lastModifiedBy>
  <cp:revision>3</cp:revision>
  <cp:lastPrinted>2020-01-14T15:31:00Z</cp:lastPrinted>
  <dcterms:created xsi:type="dcterms:W3CDTF">2020-07-21T13:20:00Z</dcterms:created>
  <dcterms:modified xsi:type="dcterms:W3CDTF">2020-07-23T07:42:00Z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Pavel.Sobisek@unicreditgroup.cz</vt:lpwstr>
  </property>
  <property fmtid="{D5CDD505-2E9C-101B-9397-08002B2CF9AE}" pid="5" name="MSIP_Label_390254f4-34d0-49c5-b888-af4abf762ef7_SetDate">
    <vt:lpwstr>2020-01-15T16:11:29.8787231Z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43f3763f-d3c6-435c-ae50-a4a40081b5fb</vt:lpwstr>
  </property>
  <property fmtid="{D5CDD505-2E9C-101B-9397-08002B2CF9AE}" pid="9" name="MSIP_Label_390254f4-34d0-49c5-b888-af4abf762ef7_Extended_MSFT_Method">
    <vt:lpwstr>Automatic</vt:lpwstr>
  </property>
  <property fmtid="{D5CDD505-2E9C-101B-9397-08002B2CF9AE}" pid="10" name="MSIP_Label_faa92781-1fcb-4da3-a1a2-e534c28a25f3_Enabled">
    <vt:lpwstr>True</vt:lpwstr>
  </property>
  <property fmtid="{D5CDD505-2E9C-101B-9397-08002B2CF9AE}" pid="11" name="MSIP_Label_faa92781-1fcb-4da3-a1a2-e534c28a25f3_SiteId">
    <vt:lpwstr>2cc49ce9-66a1-41ac-a96b-bdc54247696a</vt:lpwstr>
  </property>
  <property fmtid="{D5CDD505-2E9C-101B-9397-08002B2CF9AE}" pid="12" name="MSIP_Label_faa92781-1fcb-4da3-a1a2-e534c28a25f3_Owner">
    <vt:lpwstr>Pavel.Sobisek@unicreditgroup.cz</vt:lpwstr>
  </property>
  <property fmtid="{D5CDD505-2E9C-101B-9397-08002B2CF9AE}" pid="13" name="MSIP_Label_faa92781-1fcb-4da3-a1a2-e534c28a25f3_SetDate">
    <vt:lpwstr>2020-01-15T16:11:29.8787231Z</vt:lpwstr>
  </property>
  <property fmtid="{D5CDD505-2E9C-101B-9397-08002B2CF9AE}" pid="14" name="MSIP_Label_faa92781-1fcb-4da3-a1a2-e534c28a25f3_Name">
    <vt:lpwstr>in UniCredit Group - no visual markings</vt:lpwstr>
  </property>
  <property fmtid="{D5CDD505-2E9C-101B-9397-08002B2CF9AE}" pid="15" name="MSIP_Label_faa92781-1fcb-4da3-a1a2-e534c28a25f3_Application">
    <vt:lpwstr>Microsoft Azure Information Protection</vt:lpwstr>
  </property>
  <property fmtid="{D5CDD505-2E9C-101B-9397-08002B2CF9AE}" pid="16" name="MSIP_Label_faa92781-1fcb-4da3-a1a2-e534c28a25f3_ActionId">
    <vt:lpwstr>43f3763f-d3c6-435c-ae50-a4a40081b5fb</vt:lpwstr>
  </property>
  <property fmtid="{D5CDD505-2E9C-101B-9397-08002B2CF9AE}" pid="17" name="MSIP_Label_faa92781-1fcb-4da3-a1a2-e534c28a25f3_Parent">
    <vt:lpwstr>390254f4-34d0-49c5-b888-af4abf762ef7</vt:lpwstr>
  </property>
  <property fmtid="{D5CDD505-2E9C-101B-9397-08002B2CF9AE}" pid="18" name="MSIP_Label_faa92781-1fcb-4da3-a1a2-e534c28a25f3_Extended_MSFT_Method">
    <vt:lpwstr>Automatic</vt:lpwstr>
  </property>
  <property fmtid="{D5CDD505-2E9C-101B-9397-08002B2CF9AE}" pid="19" name="Sensitivity">
    <vt:lpwstr>Internal Use Only in UniCredit Group - no visual markings</vt:lpwstr>
  </property>
  <property fmtid="{D5CDD505-2E9C-101B-9397-08002B2CF9AE}" pid="20" name="MSIP_Label_2b3a104e-2916-42dc-a2f6-6210338509ed_Enabled">
    <vt:lpwstr>True</vt:lpwstr>
  </property>
  <property fmtid="{D5CDD505-2E9C-101B-9397-08002B2CF9AE}" pid="21" name="MSIP_Label_2b3a104e-2916-42dc-a2f6-6210338509ed_SiteId">
    <vt:lpwstr>e70aafb3-2e89-46a5-ba50-66803e8a4411</vt:lpwstr>
  </property>
  <property fmtid="{D5CDD505-2E9C-101B-9397-08002B2CF9AE}" pid="22" name="MSIP_Label_2b3a104e-2916-42dc-a2f6-6210338509ed_Owner">
    <vt:lpwstr>cen87316@csin.cz</vt:lpwstr>
  </property>
  <property fmtid="{D5CDD505-2E9C-101B-9397-08002B2CF9AE}" pid="23" name="MSIP_Label_2b3a104e-2916-42dc-a2f6-6210338509ed_SetDate">
    <vt:lpwstr>2020-01-17T08:10:02.3455520Z</vt:lpwstr>
  </property>
  <property fmtid="{D5CDD505-2E9C-101B-9397-08002B2CF9AE}" pid="24" name="MSIP_Label_2b3a104e-2916-42dc-a2f6-6210338509ed_Name">
    <vt:lpwstr>CS Internal</vt:lpwstr>
  </property>
  <property fmtid="{D5CDD505-2E9C-101B-9397-08002B2CF9AE}" pid="25" name="MSIP_Label_2b3a104e-2916-42dc-a2f6-6210338509ed_Application">
    <vt:lpwstr>Microsoft Azure Information Protection</vt:lpwstr>
  </property>
  <property fmtid="{D5CDD505-2E9C-101B-9397-08002B2CF9AE}" pid="26" name="MSIP_Label_2b3a104e-2916-42dc-a2f6-6210338509ed_ActionId">
    <vt:lpwstr>60b9ebe4-46ae-459c-bf59-6a05f328379e</vt:lpwstr>
  </property>
  <property fmtid="{D5CDD505-2E9C-101B-9397-08002B2CF9AE}" pid="27" name="MSIP_Label_2b3a104e-2916-42dc-a2f6-6210338509ed_Extended_MSFT_Method">
    <vt:lpwstr>Automatic</vt:lpwstr>
  </property>
</Properties>
</file>