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43F" w:rsidRDefault="0025643F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327A5" wp14:editId="7E14E5F7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3F" w:rsidRDefault="0025643F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:rsidR="0025643F" w:rsidRPr="00517111" w:rsidRDefault="0025643F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14. 07.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327A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:rsidR="0025643F" w:rsidRDefault="0025643F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:rsidR="0025643F" w:rsidRPr="00517111" w:rsidRDefault="0025643F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14</w:t>
                      </w:r>
                      <w:r>
                        <w:rPr>
                          <w:color w:val="BFBFBF" w:themeColor="background1" w:themeShade="BF"/>
                        </w:rPr>
                        <w:t>. 07.</w:t>
                      </w:r>
                      <w:r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>
        <w:rPr>
          <w:rFonts w:cs="Arial"/>
          <w:b/>
          <w:color w:val="007E79"/>
          <w:sz w:val="28"/>
          <w:szCs w:val="28"/>
        </w:rPr>
        <w:t xml:space="preserve"> statistice ČNB: odklady splátek a úvěry v programech COVID (data k </w:t>
      </w:r>
      <w:r w:rsidR="009E5988">
        <w:rPr>
          <w:rFonts w:cs="Arial"/>
          <w:b/>
          <w:color w:val="007E79"/>
          <w:sz w:val="28"/>
          <w:szCs w:val="28"/>
        </w:rPr>
        <w:t>3</w:t>
      </w:r>
      <w:r>
        <w:rPr>
          <w:rFonts w:cs="Arial"/>
          <w:b/>
          <w:color w:val="007E79"/>
          <w:sz w:val="28"/>
          <w:szCs w:val="28"/>
        </w:rPr>
        <w:t xml:space="preserve">. </w:t>
      </w:r>
      <w:r w:rsidR="009E5988">
        <w:rPr>
          <w:rFonts w:cs="Arial"/>
          <w:b/>
          <w:color w:val="007E79"/>
          <w:sz w:val="28"/>
          <w:szCs w:val="28"/>
        </w:rPr>
        <w:t>7</w:t>
      </w:r>
      <w:r>
        <w:rPr>
          <w:rFonts w:cs="Arial"/>
          <w:b/>
          <w:color w:val="007E79"/>
          <w:sz w:val="28"/>
          <w:szCs w:val="28"/>
        </w:rPr>
        <w:t>. 2020)</w:t>
      </w:r>
    </w:p>
    <w:p w:rsidR="0025643F" w:rsidRDefault="0025643F" w:rsidP="00F115C2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:rsidR="004D44B2" w:rsidRDefault="004D44B2" w:rsidP="004D44B2">
      <w:pPr>
        <w:spacing w:after="120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Odklady splátek</w:t>
      </w:r>
    </w:p>
    <w:p w:rsidR="004D44B2" w:rsidRDefault="004D44B2" w:rsidP="004D44B2">
      <w:pPr>
        <w:spacing w:after="120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 xml:space="preserve">Autor: Pavel Štěpánek, výkonný ředitel </w:t>
      </w:r>
      <w:r w:rsidR="00227FDD">
        <w:rPr>
          <w:rFonts w:cs="Arial"/>
          <w:b/>
          <w:color w:val="007E79"/>
          <w:sz w:val="22"/>
          <w:szCs w:val="22"/>
        </w:rPr>
        <w:t>ČBA</w:t>
      </w:r>
    </w:p>
    <w:p w:rsidR="004D44B2" w:rsidRDefault="004D44B2" w:rsidP="004D44B2">
      <w:pPr>
        <w:rPr>
          <w:sz w:val="20"/>
        </w:rPr>
      </w:pPr>
      <w:r>
        <w:rPr>
          <w:sz w:val="20"/>
        </w:rPr>
        <w:t xml:space="preserve">Podle </w:t>
      </w:r>
      <w:hyperlink r:id="rId6" w:history="1">
        <w:r w:rsidRPr="004D44B2">
          <w:rPr>
            <w:rStyle w:val="Hypertextovodkaz"/>
            <w:sz w:val="20"/>
          </w:rPr>
          <w:t>statistik ČNB</w:t>
        </w:r>
      </w:hyperlink>
      <w:r>
        <w:rPr>
          <w:sz w:val="20"/>
        </w:rPr>
        <w:t xml:space="preserve"> bylo k 3. červenci 2020 podáno 380 tis</w:t>
      </w:r>
      <w:r w:rsidR="006358A6">
        <w:rPr>
          <w:sz w:val="20"/>
        </w:rPr>
        <w:t>íc</w:t>
      </w:r>
      <w:r>
        <w:rPr>
          <w:sz w:val="20"/>
        </w:rPr>
        <w:t xml:space="preserve"> žádostí o odklad splátek. Schváleno </w:t>
      </w:r>
      <w:r w:rsidR="006358A6">
        <w:rPr>
          <w:sz w:val="20"/>
        </w:rPr>
        <w:t xml:space="preserve">jich </w:t>
      </w:r>
      <w:r>
        <w:rPr>
          <w:sz w:val="20"/>
        </w:rPr>
        <w:t>bylo 341 tis</w:t>
      </w:r>
      <w:r w:rsidR="006358A6">
        <w:rPr>
          <w:sz w:val="20"/>
        </w:rPr>
        <w:t>íc</w:t>
      </w:r>
      <w:r w:rsidR="00997374">
        <w:rPr>
          <w:sz w:val="20"/>
        </w:rPr>
        <w:t>.</w:t>
      </w:r>
      <w:r>
        <w:rPr>
          <w:sz w:val="20"/>
        </w:rPr>
        <w:t xml:space="preserve"> Počet nově přijatých žádostí</w:t>
      </w:r>
      <w:r w:rsidR="00A940F9">
        <w:rPr>
          <w:sz w:val="20"/>
        </w:rPr>
        <w:t xml:space="preserve"> se</w:t>
      </w:r>
      <w:r>
        <w:rPr>
          <w:sz w:val="20"/>
        </w:rPr>
        <w:t xml:space="preserve"> za poslední týden</w:t>
      </w:r>
      <w:r w:rsidR="00A940F9">
        <w:rPr>
          <w:sz w:val="20"/>
        </w:rPr>
        <w:t>,</w:t>
      </w:r>
      <w:r>
        <w:rPr>
          <w:sz w:val="20"/>
        </w:rPr>
        <w:t xml:space="preserve"> od 26. června do 3. července</w:t>
      </w:r>
      <w:r w:rsidR="00A940F9">
        <w:rPr>
          <w:sz w:val="20"/>
        </w:rPr>
        <w:t>,</w:t>
      </w:r>
      <w:r>
        <w:rPr>
          <w:sz w:val="20"/>
        </w:rPr>
        <w:t xml:space="preserve"> výrazně neliší od přírůstku počtu žádostí </w:t>
      </w:r>
      <w:r w:rsidR="00A940F9">
        <w:rPr>
          <w:sz w:val="20"/>
        </w:rPr>
        <w:t>v</w:t>
      </w:r>
      <w:r>
        <w:rPr>
          <w:sz w:val="20"/>
        </w:rPr>
        <w:t xml:space="preserve"> několika předchozích týdn</w:t>
      </w:r>
      <w:r w:rsidR="00A940F9">
        <w:rPr>
          <w:sz w:val="20"/>
        </w:rPr>
        <w:t>ech</w:t>
      </w:r>
      <w:r>
        <w:rPr>
          <w:sz w:val="20"/>
        </w:rPr>
        <w:t xml:space="preserve"> a setrvává na výši mírně přes 8 tisíc. </w:t>
      </w:r>
      <w:r w:rsidR="002D2860">
        <w:rPr>
          <w:sz w:val="20"/>
        </w:rPr>
        <w:t>Zásadně se nemění ani nic na tom, že odklady se týkají jen o něco více než deseti procent celého stávajícího počtu úvěrů v bilanci bank.</w:t>
      </w:r>
    </w:p>
    <w:p w:rsidR="00997374" w:rsidRDefault="00997374" w:rsidP="004D44B2">
      <w:pPr>
        <w:rPr>
          <w:sz w:val="20"/>
        </w:rPr>
      </w:pPr>
    </w:p>
    <w:p w:rsidR="004D44B2" w:rsidRPr="006358A6" w:rsidRDefault="004D44B2" w:rsidP="004D44B2">
      <w:pPr>
        <w:rPr>
          <w:sz w:val="20"/>
        </w:rPr>
      </w:pPr>
      <w:r w:rsidRPr="006358A6">
        <w:rPr>
          <w:sz w:val="20"/>
        </w:rPr>
        <w:t xml:space="preserve">Setrvale jen mírný nárůst počtu odkladů splátek v posledních týdnech potvrzuje, že ti klienti, kteří se v důsledku krize dostali bezprostředně do finanční tísně, si většinou </w:t>
      </w:r>
      <w:r w:rsidR="00A940F9" w:rsidRPr="006358A6">
        <w:rPr>
          <w:sz w:val="20"/>
        </w:rPr>
        <w:t xml:space="preserve">již </w:t>
      </w:r>
      <w:r w:rsidRPr="006358A6">
        <w:rPr>
          <w:sz w:val="20"/>
        </w:rPr>
        <w:t xml:space="preserve">o odklad zažádali. Jde </w:t>
      </w:r>
      <w:r w:rsidR="006358A6">
        <w:rPr>
          <w:sz w:val="20"/>
        </w:rPr>
        <w:t xml:space="preserve">především </w:t>
      </w:r>
      <w:r w:rsidRPr="006358A6">
        <w:rPr>
          <w:sz w:val="20"/>
        </w:rPr>
        <w:t>o domácnosti, které utrpěly ztrátu příjmů ze zaměstnání nebo o osoby samostatně výdělečné činné a firmy, u nichž došlo k výpadku příjmů z podnikání. S přibývajícím časem, uplynulým od počátku koronavirové krize a s blížícím se koncem moratoria však bude stále naléhavěji vyvstávat otázka, zda klienti, kteří možnosti moratoria využili</w:t>
      </w:r>
      <w:r w:rsidR="00486A04">
        <w:rPr>
          <w:sz w:val="20"/>
        </w:rPr>
        <w:t>,</w:t>
      </w:r>
      <w:r w:rsidRPr="006358A6">
        <w:rPr>
          <w:sz w:val="20"/>
        </w:rPr>
        <w:t xml:space="preserve"> budou schopni naskočit zpět do řádného splátkového režimu při honorování svých závazků</w:t>
      </w:r>
      <w:r w:rsidR="006358A6" w:rsidRPr="006358A6">
        <w:rPr>
          <w:sz w:val="20"/>
        </w:rPr>
        <w:t>.</w:t>
      </w:r>
    </w:p>
    <w:p w:rsidR="004D44B2" w:rsidRDefault="004D44B2" w:rsidP="004D44B2">
      <w:pPr>
        <w:rPr>
          <w:sz w:val="20"/>
        </w:rPr>
      </w:pPr>
    </w:p>
    <w:p w:rsidR="004D44B2" w:rsidRDefault="004D44B2" w:rsidP="004D44B2">
      <w:pPr>
        <w:rPr>
          <w:sz w:val="20"/>
        </w:rPr>
      </w:pPr>
    </w:p>
    <w:p w:rsidR="00F115C2" w:rsidRDefault="00F115C2" w:rsidP="00F115C2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 xml:space="preserve">Záruční programy COVID </w:t>
      </w:r>
    </w:p>
    <w:p w:rsidR="00F115C2" w:rsidRDefault="00F115C2" w:rsidP="00F115C2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Autor: Miroslav Zámečník, ekonomický analytik ČBA</w:t>
      </w:r>
    </w:p>
    <w:p w:rsidR="00815643" w:rsidRDefault="00E51C1B" w:rsidP="00F115C2">
      <w:pPr>
        <w:rPr>
          <w:sz w:val="20"/>
          <w:szCs w:val="22"/>
        </w:rPr>
      </w:pPr>
      <w:r>
        <w:rPr>
          <w:sz w:val="20"/>
          <w:szCs w:val="22"/>
        </w:rPr>
        <w:t xml:space="preserve">Zatímco program </w:t>
      </w:r>
      <w:r w:rsidR="004D44B2">
        <w:rPr>
          <w:sz w:val="20"/>
          <w:szCs w:val="22"/>
        </w:rPr>
        <w:t>COVID</w:t>
      </w:r>
      <w:r>
        <w:rPr>
          <w:sz w:val="20"/>
          <w:szCs w:val="22"/>
        </w:rPr>
        <w:t xml:space="preserve"> II, spravovaný ČMZ</w:t>
      </w:r>
      <w:r w:rsidR="009E5988">
        <w:rPr>
          <w:sz w:val="20"/>
          <w:szCs w:val="22"/>
        </w:rPr>
        <w:t>R</w:t>
      </w:r>
      <w:r>
        <w:rPr>
          <w:sz w:val="20"/>
          <w:szCs w:val="22"/>
        </w:rPr>
        <w:t xml:space="preserve">B, je ve fázi dočerpávání již schválených úvěrů (dosud načerpáno 8,8 </w:t>
      </w:r>
      <w:r w:rsidR="00815643">
        <w:rPr>
          <w:sz w:val="20"/>
          <w:szCs w:val="22"/>
        </w:rPr>
        <w:t xml:space="preserve">z celkově schválených 9,9 </w:t>
      </w:r>
      <w:r>
        <w:rPr>
          <w:sz w:val="20"/>
          <w:szCs w:val="22"/>
        </w:rPr>
        <w:t>miliardy korun), je náběh rozsahem podstatně větší</w:t>
      </w:r>
      <w:r w:rsidR="001836AD">
        <w:rPr>
          <w:sz w:val="20"/>
          <w:szCs w:val="22"/>
        </w:rPr>
        <w:t>ho</w:t>
      </w:r>
      <w:r>
        <w:rPr>
          <w:sz w:val="20"/>
          <w:szCs w:val="22"/>
        </w:rPr>
        <w:t xml:space="preserve"> program</w:t>
      </w:r>
      <w:r w:rsidR="009E5988">
        <w:rPr>
          <w:sz w:val="20"/>
          <w:szCs w:val="22"/>
        </w:rPr>
        <w:t>u</w:t>
      </w:r>
      <w:r w:rsidR="001836AD">
        <w:rPr>
          <w:sz w:val="20"/>
          <w:szCs w:val="22"/>
        </w:rPr>
        <w:t xml:space="preserve"> </w:t>
      </w:r>
      <w:r w:rsidR="004D44B2">
        <w:rPr>
          <w:sz w:val="20"/>
          <w:szCs w:val="22"/>
        </w:rPr>
        <w:t>COVID</w:t>
      </w:r>
      <w:r w:rsidR="001836AD">
        <w:rPr>
          <w:sz w:val="20"/>
          <w:szCs w:val="22"/>
        </w:rPr>
        <w:t xml:space="preserve"> </w:t>
      </w:r>
      <w:r w:rsidR="009E5988">
        <w:rPr>
          <w:sz w:val="20"/>
          <w:szCs w:val="22"/>
        </w:rPr>
        <w:t>III</w:t>
      </w:r>
      <w:r w:rsidRPr="00F04538">
        <w:rPr>
          <w:sz w:val="20"/>
          <w:szCs w:val="22"/>
        </w:rPr>
        <w:t>,</w:t>
      </w:r>
      <w:r w:rsidR="001836AD">
        <w:rPr>
          <w:sz w:val="20"/>
          <w:szCs w:val="22"/>
        </w:rPr>
        <w:t xml:space="preserve"> administrovaného přímo bankami, zatím</w:t>
      </w:r>
      <w:r>
        <w:rPr>
          <w:sz w:val="20"/>
          <w:szCs w:val="22"/>
        </w:rPr>
        <w:t xml:space="preserve"> pozvolný. Potvrzuje to n</w:t>
      </w:r>
      <w:r w:rsidR="00F115C2" w:rsidRPr="00F04538">
        <w:rPr>
          <w:sz w:val="20"/>
          <w:szCs w:val="22"/>
        </w:rPr>
        <w:t xml:space="preserve">ově zveřejněná </w:t>
      </w:r>
      <w:hyperlink r:id="rId7" w:history="1">
        <w:r w:rsidR="00F115C2" w:rsidRPr="00F04538">
          <w:rPr>
            <w:rStyle w:val="Hypertextovodkaz"/>
            <w:sz w:val="20"/>
            <w:szCs w:val="22"/>
          </w:rPr>
          <w:t>statistika ČNB</w:t>
        </w:r>
      </w:hyperlink>
      <w:r w:rsidR="00F115C2" w:rsidRPr="00F04538">
        <w:rPr>
          <w:sz w:val="20"/>
          <w:szCs w:val="22"/>
        </w:rPr>
        <w:t xml:space="preserve"> o stavu čerpání </w:t>
      </w:r>
      <w:r>
        <w:rPr>
          <w:sz w:val="20"/>
          <w:szCs w:val="22"/>
        </w:rPr>
        <w:t>z</w:t>
      </w:r>
      <w:r w:rsidR="00F115C2" w:rsidRPr="00F04538">
        <w:rPr>
          <w:sz w:val="20"/>
          <w:szCs w:val="22"/>
        </w:rPr>
        <w:t xml:space="preserve">aručených úvěrů </w:t>
      </w:r>
      <w:r w:rsidR="00815643">
        <w:rPr>
          <w:sz w:val="20"/>
          <w:szCs w:val="22"/>
        </w:rPr>
        <w:t xml:space="preserve">s daty </w:t>
      </w:r>
      <w:r w:rsidR="00F115C2" w:rsidRPr="00F04538">
        <w:rPr>
          <w:sz w:val="20"/>
          <w:szCs w:val="22"/>
        </w:rPr>
        <w:t>k </w:t>
      </w:r>
      <w:r w:rsidR="00F115C2">
        <w:rPr>
          <w:sz w:val="20"/>
          <w:szCs w:val="22"/>
        </w:rPr>
        <w:t>3</w:t>
      </w:r>
      <w:r w:rsidR="00F115C2" w:rsidRPr="00F04538">
        <w:rPr>
          <w:sz w:val="20"/>
          <w:szCs w:val="22"/>
        </w:rPr>
        <w:t>.</w:t>
      </w:r>
      <w:r w:rsidR="00F115C2">
        <w:rPr>
          <w:sz w:val="20"/>
          <w:szCs w:val="22"/>
        </w:rPr>
        <w:t xml:space="preserve"> červenci</w:t>
      </w:r>
      <w:r>
        <w:rPr>
          <w:sz w:val="20"/>
          <w:szCs w:val="22"/>
        </w:rPr>
        <w:t>.</w:t>
      </w:r>
      <w:r w:rsidR="00F115C2" w:rsidRPr="00F04538">
        <w:rPr>
          <w:sz w:val="20"/>
          <w:szCs w:val="22"/>
        </w:rPr>
        <w:t xml:space="preserve"> </w:t>
      </w:r>
      <w:r w:rsidR="00815643">
        <w:rPr>
          <w:sz w:val="20"/>
          <w:szCs w:val="22"/>
        </w:rPr>
        <w:t>Dle ní o</w:t>
      </w:r>
      <w:r w:rsidR="00F115C2" w:rsidRPr="00F04538">
        <w:rPr>
          <w:sz w:val="20"/>
          <w:szCs w:val="22"/>
        </w:rPr>
        <w:t>bjem p</w:t>
      </w:r>
      <w:r w:rsidR="001836AD">
        <w:rPr>
          <w:sz w:val="20"/>
          <w:szCs w:val="22"/>
        </w:rPr>
        <w:t>řijatých žádostí stoupl za týden o 987 milion</w:t>
      </w:r>
      <w:r w:rsidR="00A940F9">
        <w:rPr>
          <w:sz w:val="20"/>
          <w:szCs w:val="22"/>
        </w:rPr>
        <w:t>ů</w:t>
      </w:r>
      <w:r w:rsidR="001836AD">
        <w:rPr>
          <w:sz w:val="20"/>
          <w:szCs w:val="22"/>
        </w:rPr>
        <w:t xml:space="preserve"> korun na 16,0</w:t>
      </w:r>
      <w:r w:rsidR="009E5988">
        <w:rPr>
          <w:sz w:val="20"/>
          <w:szCs w:val="22"/>
        </w:rPr>
        <w:t>9</w:t>
      </w:r>
      <w:r w:rsidR="001836AD">
        <w:rPr>
          <w:sz w:val="20"/>
          <w:szCs w:val="22"/>
        </w:rPr>
        <w:t>8 miliardy</w:t>
      </w:r>
      <w:r w:rsidR="009E5988">
        <w:rPr>
          <w:sz w:val="20"/>
          <w:szCs w:val="22"/>
        </w:rPr>
        <w:t>;</w:t>
      </w:r>
      <w:r w:rsidR="001836AD">
        <w:rPr>
          <w:sz w:val="20"/>
          <w:szCs w:val="22"/>
        </w:rPr>
        <w:t xml:space="preserve"> schválených o 500 milion</w:t>
      </w:r>
      <w:r w:rsidR="00A940F9">
        <w:rPr>
          <w:sz w:val="20"/>
          <w:szCs w:val="22"/>
        </w:rPr>
        <w:t xml:space="preserve"> </w:t>
      </w:r>
      <w:r w:rsidR="001836AD">
        <w:rPr>
          <w:sz w:val="20"/>
          <w:szCs w:val="22"/>
        </w:rPr>
        <w:t>na 1,714 miliardy a načerpaných o 435 milionů korun na 1,120 miliardy korun.</w:t>
      </w:r>
      <w:r w:rsidR="00815643">
        <w:rPr>
          <w:sz w:val="20"/>
          <w:szCs w:val="22"/>
        </w:rPr>
        <w:t xml:space="preserve"> </w:t>
      </w:r>
    </w:p>
    <w:p w:rsidR="00815643" w:rsidRDefault="00815643" w:rsidP="00F115C2">
      <w:pPr>
        <w:rPr>
          <w:sz w:val="20"/>
          <w:szCs w:val="22"/>
        </w:rPr>
      </w:pPr>
    </w:p>
    <w:p w:rsidR="0034322F" w:rsidRDefault="001729A6" w:rsidP="00F115C2">
      <w:pPr>
        <w:rPr>
          <w:sz w:val="20"/>
          <w:szCs w:val="22"/>
        </w:rPr>
      </w:pPr>
      <w:r>
        <w:rPr>
          <w:sz w:val="20"/>
          <w:szCs w:val="22"/>
        </w:rPr>
        <w:t xml:space="preserve">Statistika </w:t>
      </w:r>
      <w:hyperlink r:id="rId8" w:history="1">
        <w:r w:rsidR="0034322F" w:rsidRPr="005F1E1C">
          <w:rPr>
            <w:rStyle w:val="Hypertextovodkaz"/>
            <w:sz w:val="20"/>
            <w:szCs w:val="22"/>
          </w:rPr>
          <w:t>ČMZRB</w:t>
        </w:r>
      </w:hyperlink>
      <w:r w:rsidR="0034322F">
        <w:rPr>
          <w:sz w:val="20"/>
          <w:szCs w:val="22"/>
        </w:rPr>
        <w:t xml:space="preserve">, </w:t>
      </w:r>
      <w:r>
        <w:rPr>
          <w:sz w:val="20"/>
          <w:szCs w:val="22"/>
        </w:rPr>
        <w:t xml:space="preserve">disponuje novějšími daty, a to k </w:t>
      </w:r>
      <w:r w:rsidR="0034322F">
        <w:rPr>
          <w:sz w:val="20"/>
          <w:szCs w:val="22"/>
        </w:rPr>
        <w:t>13. červenc</w:t>
      </w:r>
      <w:r>
        <w:rPr>
          <w:sz w:val="20"/>
          <w:szCs w:val="22"/>
        </w:rPr>
        <w:t>i. Podle ní činí</w:t>
      </w:r>
      <w:r w:rsidR="00815643">
        <w:rPr>
          <w:sz w:val="20"/>
          <w:szCs w:val="22"/>
        </w:rPr>
        <w:t xml:space="preserve"> objem přijatých žádostí </w:t>
      </w:r>
      <w:r>
        <w:rPr>
          <w:sz w:val="20"/>
          <w:szCs w:val="22"/>
        </w:rPr>
        <w:t xml:space="preserve">v rámci programu COVID III </w:t>
      </w:r>
      <w:r w:rsidR="00815643">
        <w:rPr>
          <w:sz w:val="20"/>
          <w:szCs w:val="22"/>
        </w:rPr>
        <w:t>16,4 mld. Kč a objem schválených žádostí 2,6 mld. Kč.</w:t>
      </w:r>
      <w:r>
        <w:rPr>
          <w:sz w:val="20"/>
          <w:szCs w:val="22"/>
        </w:rPr>
        <w:t xml:space="preserve"> </w:t>
      </w:r>
    </w:p>
    <w:p w:rsidR="0034322F" w:rsidRPr="00F04538" w:rsidRDefault="0034322F" w:rsidP="00F115C2">
      <w:pPr>
        <w:rPr>
          <w:sz w:val="20"/>
          <w:szCs w:val="22"/>
        </w:rPr>
      </w:pPr>
    </w:p>
    <w:p w:rsidR="007B1934" w:rsidRDefault="00F115C2" w:rsidP="00F115C2">
      <w:pPr>
        <w:rPr>
          <w:sz w:val="20"/>
          <w:szCs w:val="22"/>
        </w:rPr>
      </w:pPr>
      <w:r w:rsidRPr="00F04538">
        <w:rPr>
          <w:sz w:val="20"/>
          <w:szCs w:val="22"/>
        </w:rPr>
        <w:t xml:space="preserve">Podle </w:t>
      </w:r>
      <w:r w:rsidR="001836AD">
        <w:rPr>
          <w:sz w:val="20"/>
          <w:szCs w:val="22"/>
        </w:rPr>
        <w:t xml:space="preserve">analýzy </w:t>
      </w:r>
      <w:r w:rsidRPr="00F04538">
        <w:rPr>
          <w:sz w:val="20"/>
          <w:szCs w:val="22"/>
        </w:rPr>
        <w:t xml:space="preserve">ČBA </w:t>
      </w:r>
      <w:r w:rsidR="001836AD">
        <w:rPr>
          <w:sz w:val="20"/>
          <w:szCs w:val="22"/>
        </w:rPr>
        <w:t xml:space="preserve">se </w:t>
      </w:r>
      <w:r w:rsidRPr="00F04538">
        <w:rPr>
          <w:sz w:val="20"/>
          <w:szCs w:val="22"/>
        </w:rPr>
        <w:t xml:space="preserve">firmy pro uchování či zlepšení likviditní pozice snaží využívat bezúplatných nástrojů, jako </w:t>
      </w:r>
      <w:r w:rsidR="009E5988">
        <w:rPr>
          <w:sz w:val="20"/>
          <w:szCs w:val="22"/>
        </w:rPr>
        <w:t xml:space="preserve">např. </w:t>
      </w:r>
      <w:r w:rsidR="004568ED">
        <w:rPr>
          <w:sz w:val="20"/>
          <w:szCs w:val="22"/>
        </w:rPr>
        <w:t xml:space="preserve">program </w:t>
      </w:r>
      <w:r w:rsidRPr="00F04538">
        <w:rPr>
          <w:sz w:val="20"/>
          <w:szCs w:val="22"/>
        </w:rPr>
        <w:t>Antivirus</w:t>
      </w:r>
      <w:r w:rsidR="001836AD">
        <w:rPr>
          <w:sz w:val="20"/>
          <w:szCs w:val="22"/>
        </w:rPr>
        <w:t>, případně požádaly o odklad splátek úvěrů, a o</w:t>
      </w:r>
      <w:r w:rsidR="009E5988">
        <w:rPr>
          <w:sz w:val="20"/>
          <w:szCs w:val="22"/>
        </w:rPr>
        <w:t xml:space="preserve"> úvěry</w:t>
      </w:r>
      <w:r w:rsidR="001836AD">
        <w:rPr>
          <w:sz w:val="20"/>
          <w:szCs w:val="22"/>
        </w:rPr>
        <w:t xml:space="preserve"> nové žádají velmi opatrně. </w:t>
      </w:r>
      <w:r w:rsidR="00FE4DD7">
        <w:rPr>
          <w:sz w:val="20"/>
          <w:szCs w:val="22"/>
        </w:rPr>
        <w:t xml:space="preserve">Zejména patrný je podle </w:t>
      </w:r>
      <w:hyperlink r:id="rId9" w:history="1">
        <w:r w:rsidR="00FE4DD7" w:rsidRPr="004568ED">
          <w:rPr>
            <w:rStyle w:val="Hypertextovodkaz"/>
            <w:sz w:val="20"/>
            <w:szCs w:val="22"/>
          </w:rPr>
          <w:t>šetření úvěrových podmínek bank</w:t>
        </w:r>
      </w:hyperlink>
      <w:r w:rsidR="00FE4DD7">
        <w:rPr>
          <w:sz w:val="20"/>
          <w:szCs w:val="22"/>
        </w:rPr>
        <w:t>,</w:t>
      </w:r>
      <w:r w:rsidR="00486A04">
        <w:rPr>
          <w:sz w:val="20"/>
          <w:szCs w:val="22"/>
        </w:rPr>
        <w:t xml:space="preserve"> jenž provedla</w:t>
      </w:r>
      <w:r w:rsidR="00FE4DD7">
        <w:rPr>
          <w:sz w:val="20"/>
          <w:szCs w:val="22"/>
        </w:rPr>
        <w:t xml:space="preserve"> ČNB</w:t>
      </w:r>
      <w:r w:rsidR="004568ED">
        <w:rPr>
          <w:sz w:val="20"/>
          <w:szCs w:val="22"/>
        </w:rPr>
        <w:t>,</w:t>
      </w:r>
      <w:r w:rsidR="00FB724F">
        <w:rPr>
          <w:sz w:val="20"/>
          <w:szCs w:val="22"/>
        </w:rPr>
        <w:t xml:space="preserve"> </w:t>
      </w:r>
      <w:r w:rsidR="00FE4DD7">
        <w:rPr>
          <w:sz w:val="20"/>
          <w:szCs w:val="22"/>
        </w:rPr>
        <w:t xml:space="preserve">pokles poptávky po investičních úvěrech, který souvisí s omezením investiční aktivity nefinančních podniků. To potvrzuje i </w:t>
      </w:r>
      <w:hyperlink r:id="rId10" w:history="1">
        <w:r w:rsidR="00FE4DD7" w:rsidRPr="004568ED">
          <w:rPr>
            <w:rStyle w:val="Hypertextovodkaz"/>
            <w:sz w:val="20"/>
            <w:szCs w:val="22"/>
          </w:rPr>
          <w:t>průzkum Svazu průmyslu ČR</w:t>
        </w:r>
      </w:hyperlink>
      <w:r w:rsidR="00FE4DD7">
        <w:rPr>
          <w:sz w:val="20"/>
          <w:szCs w:val="22"/>
        </w:rPr>
        <w:t xml:space="preserve"> mezi členskými podniky z</w:t>
      </w:r>
      <w:r w:rsidR="00A940F9">
        <w:rPr>
          <w:sz w:val="20"/>
          <w:szCs w:val="22"/>
        </w:rPr>
        <w:t> </w:t>
      </w:r>
      <w:r w:rsidR="00FE4DD7">
        <w:rPr>
          <w:sz w:val="20"/>
          <w:szCs w:val="22"/>
        </w:rPr>
        <w:t>konce</w:t>
      </w:r>
      <w:r w:rsidR="00A940F9">
        <w:rPr>
          <w:sz w:val="20"/>
          <w:szCs w:val="22"/>
        </w:rPr>
        <w:t xml:space="preserve"> letošního</w:t>
      </w:r>
      <w:r w:rsidR="00FE4DD7">
        <w:rPr>
          <w:sz w:val="20"/>
          <w:szCs w:val="22"/>
        </w:rPr>
        <w:t xml:space="preserve"> června, podle nějž je hlavní brzdou návratu k předkrizové pro</w:t>
      </w:r>
      <w:r w:rsidR="00FB724F">
        <w:rPr>
          <w:sz w:val="20"/>
          <w:szCs w:val="22"/>
        </w:rPr>
        <w:t xml:space="preserve">dukci nedostatek </w:t>
      </w:r>
      <w:r w:rsidR="00115D50">
        <w:rPr>
          <w:sz w:val="20"/>
          <w:szCs w:val="22"/>
        </w:rPr>
        <w:t>zakázek – uvedly</w:t>
      </w:r>
      <w:r w:rsidR="00FB724F">
        <w:rPr>
          <w:sz w:val="20"/>
          <w:szCs w:val="22"/>
        </w:rPr>
        <w:t xml:space="preserve"> to bezmála tři čtvrtiny </w:t>
      </w:r>
      <w:r w:rsidR="00FE4DD7">
        <w:rPr>
          <w:sz w:val="20"/>
          <w:szCs w:val="22"/>
        </w:rPr>
        <w:t>respondentů</w:t>
      </w:r>
      <w:r w:rsidR="001E29B5">
        <w:rPr>
          <w:sz w:val="20"/>
          <w:szCs w:val="22"/>
        </w:rPr>
        <w:t>.</w:t>
      </w:r>
      <w:r w:rsidR="00FE4DD7">
        <w:rPr>
          <w:sz w:val="20"/>
          <w:szCs w:val="22"/>
        </w:rPr>
        <w:t xml:space="preserve"> Na </w:t>
      </w:r>
      <w:r w:rsidR="00115D50">
        <w:rPr>
          <w:sz w:val="20"/>
          <w:szCs w:val="22"/>
        </w:rPr>
        <w:t>to</w:t>
      </w:r>
      <w:r w:rsidR="00FE4DD7">
        <w:rPr>
          <w:sz w:val="20"/>
          <w:szCs w:val="22"/>
        </w:rPr>
        <w:t xml:space="preserve"> reagují podniky </w:t>
      </w:r>
      <w:r w:rsidR="007B1934">
        <w:rPr>
          <w:sz w:val="20"/>
          <w:szCs w:val="22"/>
        </w:rPr>
        <w:t>snižováním nákladů a omezováním investic (shodně po 66</w:t>
      </w:r>
      <w:r w:rsidR="00115D50">
        <w:rPr>
          <w:sz w:val="20"/>
          <w:szCs w:val="22"/>
        </w:rPr>
        <w:t xml:space="preserve"> </w:t>
      </w:r>
      <w:r w:rsidR="007B1934">
        <w:rPr>
          <w:sz w:val="20"/>
          <w:szCs w:val="22"/>
        </w:rPr>
        <w:t>%). Prozatím nejisté odbytové vyhlídky pak motivují podniky k redukci plánovaných investic i v příštím roce</w:t>
      </w:r>
      <w:r w:rsidR="00FB724F">
        <w:rPr>
          <w:sz w:val="20"/>
          <w:szCs w:val="22"/>
        </w:rPr>
        <w:t xml:space="preserve"> (4</w:t>
      </w:r>
      <w:r w:rsidR="004568ED">
        <w:rPr>
          <w:sz w:val="20"/>
          <w:szCs w:val="22"/>
        </w:rPr>
        <w:t>3</w:t>
      </w:r>
      <w:r w:rsidR="00115D50">
        <w:rPr>
          <w:sz w:val="20"/>
          <w:szCs w:val="22"/>
        </w:rPr>
        <w:t xml:space="preserve"> </w:t>
      </w:r>
      <w:r w:rsidR="00FB724F">
        <w:rPr>
          <w:sz w:val="20"/>
          <w:szCs w:val="22"/>
        </w:rPr>
        <w:t>%)</w:t>
      </w:r>
      <w:r w:rsidR="007B1934">
        <w:rPr>
          <w:sz w:val="20"/>
          <w:szCs w:val="22"/>
        </w:rPr>
        <w:t>.</w:t>
      </w:r>
    </w:p>
    <w:p w:rsidR="00115D50" w:rsidRDefault="00115D50" w:rsidP="001E29B5">
      <w:pPr>
        <w:rPr>
          <w:sz w:val="20"/>
          <w:szCs w:val="22"/>
        </w:rPr>
      </w:pPr>
    </w:p>
    <w:p w:rsidR="00F115C2" w:rsidRPr="00F04538" w:rsidRDefault="007B1934" w:rsidP="001E29B5">
      <w:pPr>
        <w:rPr>
          <w:sz w:val="20"/>
          <w:szCs w:val="22"/>
        </w:rPr>
      </w:pPr>
      <w:r>
        <w:rPr>
          <w:sz w:val="20"/>
          <w:szCs w:val="22"/>
        </w:rPr>
        <w:t>Ze všech těchto pramenů vyplývá, že firmy jsou extrémně obezřetné</w:t>
      </w:r>
      <w:r w:rsidR="004568ED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  <w:r w:rsidR="004568ED">
        <w:rPr>
          <w:sz w:val="20"/>
          <w:szCs w:val="22"/>
        </w:rPr>
        <w:t>V</w:t>
      </w:r>
      <w:r>
        <w:rPr>
          <w:sz w:val="20"/>
          <w:szCs w:val="22"/>
        </w:rPr>
        <w:t>zhledem k</w:t>
      </w:r>
      <w:r w:rsidR="00115D50">
        <w:rPr>
          <w:sz w:val="20"/>
          <w:szCs w:val="22"/>
        </w:rPr>
        <w:t> </w:t>
      </w:r>
      <w:r>
        <w:rPr>
          <w:sz w:val="20"/>
          <w:szCs w:val="22"/>
        </w:rPr>
        <w:t>nižším</w:t>
      </w:r>
      <w:r w:rsidR="00115D50">
        <w:rPr>
          <w:sz w:val="20"/>
          <w:szCs w:val="22"/>
        </w:rPr>
        <w:t>u</w:t>
      </w:r>
      <w:r>
        <w:rPr>
          <w:sz w:val="20"/>
          <w:szCs w:val="22"/>
        </w:rPr>
        <w:t xml:space="preserve"> objemu produkce nemají aktuálně potřebu čerpat úvěry v masivnějším rozsahu, a zcela racionálně se snaží hromadit hotovost na bankovních účtech. </w:t>
      </w:r>
      <w:r w:rsidR="001E29B5">
        <w:rPr>
          <w:sz w:val="20"/>
          <w:szCs w:val="22"/>
        </w:rPr>
        <w:t>Úvěrové podmínky bank nejsou jakkoli významnou brzdou ekonomického oživení.</w:t>
      </w:r>
      <w:r>
        <w:rPr>
          <w:sz w:val="20"/>
          <w:szCs w:val="22"/>
        </w:rPr>
        <w:t xml:space="preserve"> </w:t>
      </w:r>
      <w:r w:rsidR="00FB724F">
        <w:rPr>
          <w:sz w:val="20"/>
          <w:szCs w:val="22"/>
        </w:rPr>
        <w:t>P</w:t>
      </w:r>
      <w:r>
        <w:rPr>
          <w:sz w:val="20"/>
          <w:szCs w:val="22"/>
        </w:rPr>
        <w:t>odnikatelský sentiment</w:t>
      </w:r>
      <w:r w:rsidR="001E29B5" w:rsidRPr="001E29B5">
        <w:rPr>
          <w:sz w:val="20"/>
          <w:szCs w:val="22"/>
        </w:rPr>
        <w:t xml:space="preserve"> </w:t>
      </w:r>
      <w:r w:rsidR="001E29B5">
        <w:rPr>
          <w:sz w:val="20"/>
          <w:szCs w:val="22"/>
        </w:rPr>
        <w:t xml:space="preserve">nedokáže otočit ani vláda, </w:t>
      </w:r>
      <w:r>
        <w:rPr>
          <w:sz w:val="20"/>
          <w:szCs w:val="22"/>
        </w:rPr>
        <w:t>neboť svými zvýšenými výdaji</w:t>
      </w:r>
      <w:r w:rsidR="001E29B5">
        <w:rPr>
          <w:sz w:val="20"/>
          <w:szCs w:val="22"/>
        </w:rPr>
        <w:t>, ať již do spotřeby obyvatelstva nebo prostřednictvím investic,</w:t>
      </w:r>
      <w:r>
        <w:rPr>
          <w:sz w:val="20"/>
          <w:szCs w:val="22"/>
        </w:rPr>
        <w:t xml:space="preserve"> je schopna ekonomický pokles tlumit, nikoli však zastavit. Obrat zejmé</w:t>
      </w:r>
      <w:r w:rsidR="001E29B5">
        <w:rPr>
          <w:sz w:val="20"/>
          <w:szCs w:val="22"/>
        </w:rPr>
        <w:t>na v ekonomicky nejdůležitějším zpracovatelském průmyslu t</w:t>
      </w:r>
      <w:r>
        <w:rPr>
          <w:sz w:val="20"/>
          <w:szCs w:val="22"/>
        </w:rPr>
        <w:t xml:space="preserve">ak může přinést v podstatě </w:t>
      </w:r>
      <w:r w:rsidR="001E29B5">
        <w:rPr>
          <w:sz w:val="20"/>
          <w:szCs w:val="22"/>
        </w:rPr>
        <w:t>jen výraznější příliv exportních zakázek a</w:t>
      </w:r>
      <w:r>
        <w:rPr>
          <w:sz w:val="20"/>
          <w:szCs w:val="22"/>
        </w:rPr>
        <w:t xml:space="preserve"> </w:t>
      </w:r>
      <w:r w:rsidR="001E29B5">
        <w:rPr>
          <w:sz w:val="20"/>
          <w:szCs w:val="22"/>
        </w:rPr>
        <w:t xml:space="preserve">oživení </w:t>
      </w:r>
      <w:r>
        <w:rPr>
          <w:sz w:val="20"/>
          <w:szCs w:val="22"/>
        </w:rPr>
        <w:t>v Německu,</w:t>
      </w:r>
      <w:r w:rsidR="001E29B5">
        <w:rPr>
          <w:sz w:val="20"/>
          <w:szCs w:val="22"/>
        </w:rPr>
        <w:t xml:space="preserve"> do jehož produkčního řetě</w:t>
      </w:r>
      <w:r>
        <w:rPr>
          <w:sz w:val="20"/>
          <w:szCs w:val="22"/>
        </w:rPr>
        <w:t>zce jsou podniky v Česku integrovány</w:t>
      </w:r>
      <w:r w:rsidR="001E29B5">
        <w:rPr>
          <w:sz w:val="20"/>
          <w:szCs w:val="22"/>
        </w:rPr>
        <w:t>.</w:t>
      </w:r>
    </w:p>
    <w:p w:rsidR="00F115C2" w:rsidRPr="00F04538" w:rsidRDefault="00F115C2" w:rsidP="00F115C2">
      <w:pPr>
        <w:spacing w:line="276" w:lineRule="auto"/>
        <w:contextualSpacing/>
        <w:rPr>
          <w:rFonts w:cs="Arial"/>
          <w:szCs w:val="18"/>
        </w:rPr>
      </w:pPr>
    </w:p>
    <w:p w:rsidR="00F115C2" w:rsidRPr="00F04538" w:rsidRDefault="00F115C2" w:rsidP="00F115C2">
      <w:pPr>
        <w:spacing w:line="276" w:lineRule="auto"/>
        <w:contextualSpacing/>
        <w:rPr>
          <w:rFonts w:cs="Arial"/>
          <w:szCs w:val="18"/>
        </w:rPr>
      </w:pPr>
    </w:p>
    <w:p w:rsidR="00F115C2" w:rsidRDefault="00F115C2" w:rsidP="00F115C2">
      <w:pPr>
        <w:spacing w:line="276" w:lineRule="auto"/>
        <w:contextualSpacing/>
        <w:rPr>
          <w:rFonts w:cs="Arial"/>
          <w:sz w:val="16"/>
          <w:szCs w:val="16"/>
        </w:rPr>
      </w:pPr>
    </w:p>
    <w:p w:rsidR="00F115C2" w:rsidRDefault="00F115C2" w:rsidP="00F115C2">
      <w:pPr>
        <w:spacing w:line="276" w:lineRule="auto"/>
        <w:contextualSpacing/>
        <w:rPr>
          <w:rFonts w:cs="Arial"/>
          <w:sz w:val="16"/>
          <w:szCs w:val="16"/>
        </w:rPr>
      </w:pPr>
    </w:p>
    <w:p w:rsidR="00F115C2" w:rsidRDefault="00F115C2" w:rsidP="00F115C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25643F" w:rsidRPr="00E27F2F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6590D" wp14:editId="243338F1">
                <wp:simplePos x="0" y="0"/>
                <wp:positionH relativeFrom="margin">
                  <wp:posOffset>-1542</wp:posOffset>
                </wp:positionH>
                <wp:positionV relativeFrom="paragraph">
                  <wp:posOffset>132080</wp:posOffset>
                </wp:positionV>
                <wp:extent cx="6574790" cy="1360714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3607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E55" w:rsidRDefault="00662E55" w:rsidP="00662E55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Odklady splátek</w:t>
                            </w:r>
                          </w:p>
                          <w:p w:rsidR="00662E55" w:rsidRPr="006E15C4" w:rsidRDefault="00662E55" w:rsidP="00662E55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  <w:r w:rsidRPr="006E15C4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Pavel Štěpánek je výkonným ředitelem ČBA. Vystudoval obor finance na Vysoké škole ekonomické v Praze, kde v současné době také přednáší. Od roku 1981 působil na ministerstvu financí, kde vykonával řadu funkcí a byl jmenová</w:t>
                            </w:r>
                            <w:r w:rsidR="00A05E86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n</w:t>
                            </w:r>
                            <w:r w:rsidRPr="006E15C4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náměstkem ministra financí pro problematiku finanční politiky, mezinárodních vztahů, kapitálového trhu a privatizaci bank. Krátce také působil jako člen dozorčí rady Poštovní banky, člen prezidia </w:t>
                            </w:r>
                            <w:r w:rsidR="00A05E86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Fondu</w:t>
                            </w:r>
                            <w:r w:rsidRPr="006E15C4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národního majet</w:t>
                            </w:r>
                            <w:r w:rsidR="00A05E86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k</w:t>
                            </w:r>
                            <w:r w:rsidRPr="006E15C4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u a asistent generálního ředitele České spořitelny. V roce 1999 byl prezidentem republiky jmenová</w:t>
                            </w:r>
                            <w:r w:rsidR="00A05E86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n</w:t>
                            </w:r>
                            <w:r w:rsidRPr="006E15C4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členem bankovní rady České národní banky. Po odchodu do roku 2006 pracoval jako náměstek výkonného ředitele ČBA.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590D" id="Obdélník 1" o:spid="_x0000_s1027" style="position:absolute;left:0;text-align:left;margin-left:-.1pt;margin-top:10.4pt;width:517.7pt;height:107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bIswIAANcFAAAOAAAAZHJzL2Uyb0RvYy54bWysVM1O3DAQvlfqO1i+lyQUWBqRRSsQVaVt&#10;QYWKs9dxNhGOx7W9m2zfqIc+BS/WsZ0ElqIeql4sz983/3N23reSbIWxDaiCZgcpJUJxKBu1Lui3&#10;u6t3p5RYx1TJJChR0J2w9Hz+9s1Zp3NxCDXIUhiCIMrmnS5o7ZzOk8TyWrTMHoAWCoUVmJY5JM06&#10;KQ3rEL2VyWGaniQdmFIb4MJa5F5GIZ0H/KoS3F1XlRWOyIJibC68Jrwr/ybzM5avDdN1w4cw2D9E&#10;0bJGodMJ6pI5Rjam+QOqbbgBC5U74NAmUFUNFyEHzCZLX2RzWzMtQi5YHKunMtn/B8u/bG8MaUrs&#10;HSWKtdii61X5+FOqx18PJPP16bTNUe1W3xifodVL4A8WBcmexBN20Okr03pdzI/0odi7qdiid4Qj&#10;8+R4djT7gD3hKMven6Sz7Mi7S1g+mmtj3UcBLfGfghrsZigy2y6ti6qjSogMZFNeNVIGwk+QuJCG&#10;bBn2frXOgqnctJ+hjLzZcZqGCUCXYeC8egjAPkeSyuMp8MjRqeeE5GO+IXO3k8LrSfVVVFhQzPAw&#10;eJyQo1PGuVAuBmNrVorI9qG8HksA9MgV+p+wB4D9JEfsGOWg701F2ITJOP1bYNF4sgieQbnJuG0U&#10;mNcAJGY1eI76Y5FiaXyVXL/qh2FDTc9ZQbnDATQQN9NqftVgs5fMuhtmcBVxQPC8uGt8KgldQWH4&#10;UVKD+fEa3+vjhqCUkg5Xu6D2+4YZQYn8pHB3svTUF5u4PcrsUas9Sm3aC8Apwh3BCMMX7Y2T47cy&#10;0N7jJVp4zyhiiqP/grrxe+Hi0cFLxsViEZTwAmjmlupWcw/tK+3H+a6/Z0YPM+9wXb7AeAhY/mL0&#10;o663VLDYOKiasBdPlR16gNcjDPZw6fx5ek4Hrad7PP8NAAD//wMAUEsDBBQABgAIAAAAIQCCFbkY&#10;2AAAAAkBAAAPAAAAZHJzL2Rvd25yZXYueG1sTE87T8MwEN6R+A/WIbG1dhMFVSFOhZBYmKBUiPEa&#10;H0lEfA6xm4Z/z3WC8Xvoe1S7xQ9qpin2gS1s1gYUcRNcz62Fw9vTagsqJmSHQ2Cy8EMRdvX1VYWl&#10;C2d+pXmfWiUhHEu00KU0llrHpiOPcR1GYtE+w+QxCZxa7SY8S7gfdGbMnfbYszR0ONJjR83X/uSl&#10;dxtfvjOe8+f3AxYfqEdtUmHt7c3ycA8q0ZL+zHCZL9Ohlk3HcGIX1WBhlYnRQmbkwEU2eSHMUZi8&#10;2ICuK/3/Qf0LAAD//wMAUEsBAi0AFAAGAAgAAAAhALaDOJL+AAAA4QEAABMAAAAAAAAAAAAAAAAA&#10;AAAAAFtDb250ZW50X1R5cGVzXS54bWxQSwECLQAUAAYACAAAACEAOP0h/9YAAACUAQAACwAAAAAA&#10;AAAAAAAAAAAvAQAAX3JlbHMvLnJlbHNQSwECLQAUAAYACAAAACEArN9myLMCAADXBQAADgAAAAAA&#10;AAAAAAAAAAAuAgAAZHJzL2Uyb0RvYy54bWxQSwECLQAUAAYACAAAACEAghW5GNgAAAAJAQAADwAA&#10;AAAAAAAAAAAAAAANBQAAZHJzL2Rvd25yZXYueG1sUEsFBgAAAAAEAAQA8wAAABIGAAAAAA==&#10;" fillcolor="#bfbfbf [2412]" stroked="f" strokeweight="1pt">
                <v:textbox inset="3mm,3mm,3mm,3mm">
                  <w:txbxContent>
                    <w:p w:rsidR="00662E55" w:rsidRDefault="00662E55" w:rsidP="00662E55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Odklady splátek</w:t>
                      </w:r>
                    </w:p>
                    <w:p w:rsidR="00662E55" w:rsidRPr="006E15C4" w:rsidRDefault="00662E55" w:rsidP="00662E55">
                      <w:pPr>
                        <w:spacing w:after="120" w:line="276" w:lineRule="auto"/>
                        <w:contextualSpacing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  <w:r w:rsidRPr="006E15C4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Pavel Štěpánek je výkonným ředitelem ČBA. Vystudoval obor finance na Vysoké škole ekonomické v Praze, kde v současné době také přednáší. Od roku 1981 působil na ministerstvu financí, kde vykonával řadu funkcí a byl jmenová</w:t>
                      </w:r>
                      <w:r w:rsidR="00A05E86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n</w:t>
                      </w:r>
                      <w:r w:rsidRPr="006E15C4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náměstkem ministra financí pro problematiku finanční politiky, mezinárodních vztahů, kapitálového trhu a privatizaci bank. Krátce také působil jako člen dozorčí rady Poštovní banky, člen prezidia </w:t>
                      </w:r>
                      <w:r w:rsidR="00A05E86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Fondu</w:t>
                      </w:r>
                      <w:r w:rsidRPr="006E15C4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národního majet</w:t>
                      </w:r>
                      <w:r w:rsidR="00A05E86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k</w:t>
                      </w:r>
                      <w:r w:rsidRPr="006E15C4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u a asistent generálního ředitele České spořitelny. V roce 1999 byl prezidentem republiky jmenová</w:t>
                      </w:r>
                      <w:r w:rsidR="00A05E86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n</w:t>
                      </w:r>
                      <w:r w:rsidRPr="006E15C4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členem bankovní rady České národní banky. Po odchodu do roku 2006 pracoval jako náměstek výkonného ředitele ČBA.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643F"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9CBEA" wp14:editId="2C409A6A">
                <wp:simplePos x="0" y="0"/>
                <wp:positionH relativeFrom="margin">
                  <wp:posOffset>2540</wp:posOffset>
                </wp:positionH>
                <wp:positionV relativeFrom="paragraph">
                  <wp:posOffset>1608455</wp:posOffset>
                </wp:positionV>
                <wp:extent cx="6574790" cy="14192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43F" w:rsidRDefault="0025643F" w:rsidP="0025643F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:rsidR="0025643F" w:rsidRDefault="0025643F" w:rsidP="0025643F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:rsidR="0025643F" w:rsidRPr="003C72D7" w:rsidRDefault="0025643F" w:rsidP="0025643F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:rsidR="0025643F" w:rsidRPr="00FD77C2" w:rsidRDefault="0025643F" w:rsidP="0025643F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CBEA" id="Obdélník 5" o:spid="_x0000_s1027" style="position:absolute;left:0;text-align:left;margin-left:.2pt;margin-top:126.65pt;width:517.7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3otQIAANcFAAAOAAAAZHJzL2Uyb0RvYy54bWysVN1O2zAUvp+0d7B8P5JUlJ+IFFUgpkkd&#10;oMHEtes4TYTj49lu0+6NdsFT8GI7tpNAGdrFtBvL5+87/+fsfNtKshHGNqAKmh2klAjFoWzUqqDf&#10;768+nVBiHVMlk6BEQXfC0vPZxw9nnc7FBGqQpTAEQZTNO13Q2jmdJ4nltWiZPQAtFAorMC1zSJpV&#10;UhrWIXork0maHiUdmFIb4MJa5F5GIZ0F/KoS3N1UlRWOyIJibC68JrxL/yazM5avDNN1w/sw2D9E&#10;0bJGodMR6pI5Rtam+QOqbbgBC5U74NAmUFUNFyEHzCZL32RzVzMtQi5YHKvHMtn/B8uvN7eGNGVB&#10;p5Qo1mKLbpbl8y+pnp8eydTXp9M2R7U7fWt8hlYvgD9aFCR7Ek/YXmdbmdbrYn5kG4q9G4stto5w&#10;ZB5Njw+PT7EnHGXZYXY6mQR3CcsHc22s+yygJf5TUIPdDEVmm4V1PgCWDyohMpBNedVIGQg/QeJC&#10;GrJh2PvlKgumct1+hTLyjqdpGiYAccLAefWAal8jSeXxFHjk6NRzQvIx35C520nh9aT6JiosKGY4&#10;CR5H5OiUcS6Ui8HYmpUisn0o78cSAD1yhf5H7B5gP8kBO0bZ63tTETZhNE7/Flg0Hi2CZ1BuNG4b&#10;BeY9AIlZ9Z6j/lCkWBpfJbddbsOwBU3PWUK5wwE0EDfTan7VYLMXzLpbZnAVcUDwvLgbfCoJXUGh&#10;/1FSg/n5Ht/r44aglJIOV7ug9seaGUGJ/KJwd7L0xBebuD3K7FHLPUqt2wvAKcrwmGkevmhvnBy+&#10;lYH2AS/R3HtGEVMc/RfUDd8LF48OXjIu5vOghBdAM7dQd5p7aF9pP8732wdmdD/zDtflGoZDwPI3&#10;ox91vaWC+dpB1YS9eKls3wO8HmGw+0vnz9NrOmi93OPZbwAAAP//AwBQSwMEFAAGAAgAAAAhAEGT&#10;LcfbAAAACQEAAA8AAABkcnMvZG93bnJldi54bWxMj09Pg0AQxe8mfofNmHiziyCVIEtjTLx40toY&#10;j1N2BCI7i+yW4rd3erLHl9/L+1NtFjeomabQezZwu0pAETfe9twa2L0/3xSgQkS2OHgmA78UYFNf&#10;XlRYWn/kN5q3sVUSwqFEA12MY6l1aDpyGFZ+JBb25SeHUeTUajvhUcLdoNMkWWuHPUtDhyM9ddR8&#10;bw9Oeovw+pPynL187DD/RD3qJObGXF8tjw+gIi3x3wyn+TIdatm09we2QQ0G7sRnIM2zDNQJJ1ku&#10;V/YC7tcF6LrS5w/qPwAAAP//AwBQSwECLQAUAAYACAAAACEAtoM4kv4AAADhAQAAEwAAAAAAAAAA&#10;AAAAAAAAAAAAW0NvbnRlbnRfVHlwZXNdLnhtbFBLAQItABQABgAIAAAAIQA4/SH/1gAAAJQBAAAL&#10;AAAAAAAAAAAAAAAAAC8BAABfcmVscy8ucmVsc1BLAQItABQABgAIAAAAIQCQdq3otQIAANcFAAAO&#10;AAAAAAAAAAAAAAAAAC4CAABkcnMvZTJvRG9jLnhtbFBLAQItABQABgAIAAAAIQBBky3H2wAAAAkB&#10;AAAPAAAAAAAAAAAAAAAAAA8FAABkcnMvZG93bnJldi54bWxQSwUGAAAAAAQABADzAAAAFwYAAAAA&#10;" fillcolor="#bfbfbf [2412]" stroked="f" strokeweight="1pt">
                <v:textbox inset="3mm,3mm,3mm,3mm">
                  <w:txbxContent>
                    <w:p w:rsidR="0025643F" w:rsidRDefault="0025643F" w:rsidP="0025643F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:rsidR="0025643F" w:rsidRDefault="0025643F" w:rsidP="0025643F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25643F" w:rsidRPr="003C72D7" w:rsidRDefault="0025643F" w:rsidP="0025643F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25643F" w:rsidRPr="00FD77C2" w:rsidRDefault="0025643F" w:rsidP="0025643F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643F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09625" wp14:editId="0B3CE7C8">
                <wp:simplePos x="0" y="0"/>
                <wp:positionH relativeFrom="margin">
                  <wp:posOffset>98</wp:posOffset>
                </wp:positionH>
                <wp:positionV relativeFrom="paragraph">
                  <wp:posOffset>3216910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43F" w:rsidRPr="009F3268" w:rsidRDefault="0025643F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25643F" w:rsidRPr="009F3268" w:rsidRDefault="0025643F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9625" id="Obdélník 199" o:spid="_x0000_s1028" style="position:absolute;left:0;text-align:left;margin-left:0;margin-top:253.3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38mdg9sAAAAIAQAADwAAAGRycy9kb3ducmV2LnhtbEyPQU+DQBSE7yb+h80z8WZ3xUAJsjTGxIsn&#10;rU3j8RVegZR9i+yW4r/3edLjZCYz35SbxQ1qpin0ni3crwwo4to3PbcWdh8vdzmoEJEbHDyThW8K&#10;sKmur0osGn/hd5q3sVVSwqFAC12MY6F1qDtyGFZ+JBbv6CeHUeTU6mbCi5S7QSfGZNphz7LQ4UjP&#10;HdWn7dnJbh7evhKeH173O0w/UY/axNTa25vl6RFUpCX+heEXX9ChEqaDP3MT1GBBjkQLqckyUGJn&#10;uVmDOlhYp4kBXZX6/4HqBwAA//8DAFBLAQItABQABgAIAAAAIQC2gziS/gAAAOEBAAATAAAAAAAA&#10;AAAAAAAAAAAAAABbQ29udGVudF9UeXBlc10ueG1sUEsBAi0AFAAGAAgAAAAhADj9If/WAAAAlAEA&#10;AAsAAAAAAAAAAAAAAAAALwEAAF9yZWxzLy5yZWxzUEsBAi0AFAAGAAgAAAAhAJvPh6C3AgAA2wUA&#10;AA4AAAAAAAAAAAAAAAAALgIAAGRycy9lMm9Eb2MueG1sUEsBAi0AFAAGAAgAAAAhAN/JnYPbAAAA&#10;CAEAAA8AAAAAAAAAAAAAAAAAEQUAAGRycy9kb3ducmV2LnhtbFBLBQYAAAAABAAEAPMAAAAZBgAA&#10;AAA=&#10;" fillcolor="#bfbfbf [2412]" stroked="f" strokeweight="1pt">
                <v:textbox inset="3mm,3mm,3mm,3mm">
                  <w:txbxContent>
                    <w:p w:rsidR="0025643F" w:rsidRPr="009F3268" w:rsidRDefault="0025643F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25643F" w:rsidRPr="009F3268" w:rsidRDefault="0025643F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643F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48B12" wp14:editId="6FA7F9D8">
                <wp:simplePos x="0" y="0"/>
                <wp:positionH relativeFrom="margin">
                  <wp:posOffset>4378716</wp:posOffset>
                </wp:positionH>
                <wp:positionV relativeFrom="paragraph">
                  <wp:posOffset>3218815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43F" w:rsidRPr="00F2719D" w:rsidRDefault="0025643F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25643F" w:rsidRDefault="0025643F" w:rsidP="00256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48B12" id="Obdélník 200" o:spid="_x0000_s1029" style="position:absolute;left:0;text-align:left;margin-left:344.8pt;margin-top:253.45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7EInfuAAAAAMAQAADwAAAGRycy9kb3ducmV2LnhtbEyPwU7DMBBE70j8&#10;g7VI3KhNUNI2jVOhVhwRokH06sRLYjVeR7GbBr4e9wTH1T7NvCm2s+3ZhKM3jiQ8LgQwpMZpQ62E&#10;j+rlYQXMB0Va9Y5Qwjd62Ja3N4XKtbvQO06H0LIYQj5XEroQhpxz33RolV+4ASn+vtxoVYjn2HI9&#10;qksMtz1PhMi4VYZiQ6cG3HXYnA5nK6F9nX7az2pvT/XbYNDsj8tdRVLe383PG2AB5/AHw1U/qkMZ&#10;nWp3Ju1ZLyFbrbOISkhFtgZ2JcRTGtfUEpZpkgAvC/5/RPkLAAD//wMAUEsBAi0AFAAGAAgAAAAh&#10;ALaDOJL+AAAA4QEAABMAAAAAAAAAAAAAAAAAAAAAAFtDb250ZW50X1R5cGVzXS54bWxQSwECLQAU&#10;AAYACAAAACEAOP0h/9YAAACUAQAACwAAAAAAAAAAAAAAAAAvAQAAX3JlbHMvLnJlbHNQSwECLQAU&#10;AAYACAAAACEAvNh4ohsCAAAWBAAADgAAAAAAAAAAAAAAAAAuAgAAZHJzL2Uyb0RvYy54bWxQSwEC&#10;LQAUAAYACAAAACEA7EInfuAAAAAMAQAADwAAAAAAAAAAAAAAAAB1BAAAZHJzL2Rvd25yZXYueG1s&#10;UEsFBgAAAAAEAAQA8wAAAIIFAAAAAA==&#10;" fillcolor="#007e79" stroked="f" strokeweight="1pt">
                <v:fill opacity="56283f"/>
                <v:textbox inset="3mm,3mm,3mm,3mm">
                  <w:txbxContent>
                    <w:p w:rsidR="0025643F" w:rsidRPr="00F2719D" w:rsidRDefault="0025643F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25643F" w:rsidRDefault="0025643F" w:rsidP="0025643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076E" w:rsidRDefault="002264F1"/>
    <w:sectPr w:rsidR="000E076E" w:rsidSect="0025643F">
      <w:headerReference w:type="default" r:id="rId11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64F1" w:rsidRDefault="002264F1" w:rsidP="0025643F">
      <w:r>
        <w:separator/>
      </w:r>
    </w:p>
  </w:endnote>
  <w:endnote w:type="continuationSeparator" w:id="0">
    <w:p w:rsidR="002264F1" w:rsidRDefault="002264F1" w:rsidP="002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64F1" w:rsidRDefault="002264F1" w:rsidP="0025643F">
      <w:r>
        <w:separator/>
      </w:r>
    </w:p>
  </w:footnote>
  <w:footnote w:type="continuationSeparator" w:id="0">
    <w:p w:rsidR="002264F1" w:rsidRDefault="002264F1" w:rsidP="0025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43F" w:rsidRDefault="0025643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B0E89C" wp14:editId="79D8624A">
          <wp:simplePos x="0" y="0"/>
          <wp:positionH relativeFrom="page">
            <wp:posOffset>53975</wp:posOffset>
          </wp:positionH>
          <wp:positionV relativeFrom="paragraph">
            <wp:posOffset>-419735</wp:posOffset>
          </wp:positionV>
          <wp:extent cx="3196206" cy="1612900"/>
          <wp:effectExtent l="0" t="0" r="4445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C2"/>
    <w:rsid w:val="00115D50"/>
    <w:rsid w:val="001729A6"/>
    <w:rsid w:val="001836AD"/>
    <w:rsid w:val="001B2762"/>
    <w:rsid w:val="001E29B5"/>
    <w:rsid w:val="002264F1"/>
    <w:rsid w:val="00227FDD"/>
    <w:rsid w:val="0025643F"/>
    <w:rsid w:val="00277D6C"/>
    <w:rsid w:val="002D2860"/>
    <w:rsid w:val="0034322F"/>
    <w:rsid w:val="00437822"/>
    <w:rsid w:val="004568ED"/>
    <w:rsid w:val="00486A04"/>
    <w:rsid w:val="004D44B2"/>
    <w:rsid w:val="005F1E1C"/>
    <w:rsid w:val="006358A6"/>
    <w:rsid w:val="00662E55"/>
    <w:rsid w:val="007B0D60"/>
    <w:rsid w:val="007B1934"/>
    <w:rsid w:val="00815643"/>
    <w:rsid w:val="00876566"/>
    <w:rsid w:val="00997374"/>
    <w:rsid w:val="009E5988"/>
    <w:rsid w:val="00A05E86"/>
    <w:rsid w:val="00A31DDE"/>
    <w:rsid w:val="00A940F9"/>
    <w:rsid w:val="00B41EBD"/>
    <w:rsid w:val="00D2610B"/>
    <w:rsid w:val="00E51C1B"/>
    <w:rsid w:val="00EF5B28"/>
    <w:rsid w:val="00F115C2"/>
    <w:rsid w:val="00F76B40"/>
    <w:rsid w:val="00FB724F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F6CF"/>
  <w15:chartTrackingRefBased/>
  <w15:docId w15:val="{F0D0A3D1-31CA-4BFC-B746-5522739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5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15C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Standard">
    <w:name w:val="Standard"/>
    <w:rsid w:val="0025643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paragraph" w:customStyle="1" w:styleId="THnorm">
    <w:name w:val="TH norm"/>
    <w:basedOn w:val="Normln"/>
    <w:uiPriority w:val="99"/>
    <w:rsid w:val="0025643F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E59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4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zrb.cz/prubezny-stav-vyrizovani-zadosti-programu-covi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nb.cz/cs/dohled-financni-trh/souhrnne-informace-fin-trhy/statistika-odkladu-splatek-a-uveru-v-programech-covi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b.cz/cs/dohled-financni-trh/souhrnne-informace-fin-trhy/statistika-odkladu-splatek-a-uveru-v-programech-covid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pcr.cz/pro-media/tiskove-zpravy/13778-firmam-chybi-zakazky-setri-ale-ve-velkem-nepropoustej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nb.cz/export/sites/cnb/cs/statistika/setreni-uverovych-podminek-bank/.galleries/uverove_setreni/2020_q2_BL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Trudičová</cp:lastModifiedBy>
  <cp:revision>22</cp:revision>
  <cp:lastPrinted>2020-07-14T11:18:00Z</cp:lastPrinted>
  <dcterms:created xsi:type="dcterms:W3CDTF">2020-07-14T08:43:00Z</dcterms:created>
  <dcterms:modified xsi:type="dcterms:W3CDTF">2020-07-15T11:14:00Z</dcterms:modified>
</cp:coreProperties>
</file>