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276A4" w14:textId="44BAF447" w:rsidR="005B644B" w:rsidRPr="00B35B21" w:rsidRDefault="00F924F0" w:rsidP="005B644B">
      <w:pPr>
        <w:rPr>
          <w:rFonts w:cs="Arial"/>
          <w:b/>
          <w:sz w:val="20"/>
        </w:rPr>
      </w:pPr>
      <w:r w:rsidRPr="007C30FC">
        <w:rPr>
          <w:rFonts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66B680E" wp14:editId="2139B099">
                <wp:simplePos x="0" y="0"/>
                <wp:positionH relativeFrom="margin">
                  <wp:posOffset>5276850</wp:posOffset>
                </wp:positionH>
                <wp:positionV relativeFrom="paragraph">
                  <wp:posOffset>-821690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E9218" w14:textId="2EED34A2" w:rsidR="00F924F0" w:rsidRDefault="00F924F0" w:rsidP="00F924F0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26A778BD" w14:textId="5A4A4571" w:rsidR="00F924F0" w:rsidRPr="00517111" w:rsidRDefault="00752FA9" w:rsidP="00F924F0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 xml:space="preserve">30. 6. </w:t>
                            </w:r>
                            <w:r w:rsidR="00F924F0" w:rsidRPr="00517111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  <w:r w:rsidR="00F924F0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6B680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5.5pt;margin-top:-64.7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Me10j/gAAAADAEAAA8AAAAAAAAAAAAAAAAAbQQAAGRycy9kb3ducmV2LnhtbFBLBQYAAAAA&#10;BAAEAPMAAAB6BQAAAAA=&#10;" filled="f" stroked="f">
                <v:textbox style="mso-fit-shape-to-text:t">
                  <w:txbxContent>
                    <w:p w14:paraId="452E9218" w14:textId="2EED34A2" w:rsidR="00F924F0" w:rsidRDefault="00F924F0" w:rsidP="00F924F0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26A778BD" w14:textId="5A4A4571" w:rsidR="00F924F0" w:rsidRPr="00517111" w:rsidRDefault="00752FA9" w:rsidP="00F924F0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 xml:space="preserve">30. 6. </w:t>
                      </w:r>
                      <w:r w:rsidR="00F924F0" w:rsidRPr="00517111">
                        <w:rPr>
                          <w:color w:val="BFBFBF" w:themeColor="background1" w:themeShade="BF"/>
                        </w:rPr>
                        <w:t>20</w:t>
                      </w:r>
                      <w:r w:rsidR="00F924F0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44B" w:rsidRPr="00B35B21">
        <w:rPr>
          <w:rFonts w:cs="Arial"/>
          <w:b/>
          <w:color w:val="007E79"/>
          <w:sz w:val="28"/>
          <w:szCs w:val="28"/>
        </w:rPr>
        <w:t xml:space="preserve">Komentář České bankovní asociace k bankovní statistice za </w:t>
      </w:r>
      <w:r w:rsidR="00752FA9">
        <w:rPr>
          <w:rFonts w:cs="Arial"/>
          <w:b/>
          <w:color w:val="007E79"/>
          <w:sz w:val="28"/>
          <w:szCs w:val="28"/>
        </w:rPr>
        <w:t>květen</w:t>
      </w:r>
      <w:r w:rsidR="005B644B" w:rsidRPr="00B35B21">
        <w:rPr>
          <w:rFonts w:cs="Arial"/>
          <w:b/>
          <w:color w:val="007E79"/>
          <w:sz w:val="28"/>
          <w:szCs w:val="28"/>
        </w:rPr>
        <w:t xml:space="preserve"> 20</w:t>
      </w:r>
      <w:r w:rsidR="00712581">
        <w:rPr>
          <w:rFonts w:cs="Arial"/>
          <w:b/>
          <w:color w:val="007E79"/>
          <w:sz w:val="28"/>
          <w:szCs w:val="28"/>
        </w:rPr>
        <w:t>20</w:t>
      </w:r>
    </w:p>
    <w:p w14:paraId="179E383D" w14:textId="77777777"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2BE03AA7" w14:textId="77777777" w:rsidR="004C0DD2" w:rsidRDefault="00877706" w:rsidP="00877706">
      <w:pPr>
        <w:spacing w:after="120" w:line="276" w:lineRule="auto"/>
        <w:contextualSpacing/>
        <w:rPr>
          <w:rFonts w:cs="Arial"/>
          <w:b/>
          <w:color w:val="007E79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Autor: </w:t>
      </w:r>
      <w:r w:rsidR="004C0DD2" w:rsidRPr="004C0DD2">
        <w:rPr>
          <w:rFonts w:cs="Arial"/>
          <w:b/>
          <w:color w:val="007E79"/>
          <w:sz w:val="22"/>
          <w:szCs w:val="24"/>
        </w:rPr>
        <w:t xml:space="preserve">Miroslav Zámečník, ekonomický analytik České bankovní asociace </w:t>
      </w:r>
    </w:p>
    <w:p w14:paraId="5436DEE0" w14:textId="445030C4" w:rsidR="00877706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Praha, </w:t>
      </w:r>
      <w:r w:rsidR="00752FA9">
        <w:rPr>
          <w:rFonts w:cs="Arial"/>
          <w:b/>
          <w:color w:val="007E79"/>
          <w:sz w:val="22"/>
          <w:szCs w:val="22"/>
        </w:rPr>
        <w:t>30</w:t>
      </w:r>
      <w:r w:rsidR="00E05F33">
        <w:rPr>
          <w:rFonts w:cs="Arial"/>
          <w:b/>
          <w:color w:val="007E79"/>
          <w:sz w:val="22"/>
          <w:szCs w:val="22"/>
        </w:rPr>
        <w:t xml:space="preserve">. </w:t>
      </w:r>
      <w:r w:rsidR="00752FA9">
        <w:rPr>
          <w:rFonts w:cs="Arial"/>
          <w:b/>
          <w:color w:val="007E79"/>
          <w:sz w:val="22"/>
          <w:szCs w:val="22"/>
        </w:rPr>
        <w:t>června</w:t>
      </w:r>
      <w:r w:rsidRPr="00877706">
        <w:rPr>
          <w:rFonts w:cs="Arial"/>
          <w:b/>
          <w:color w:val="007E79"/>
          <w:sz w:val="22"/>
          <w:szCs w:val="22"/>
        </w:rPr>
        <w:t xml:space="preserve"> 20</w:t>
      </w:r>
      <w:r w:rsidR="005875CD">
        <w:rPr>
          <w:rFonts w:cs="Arial"/>
          <w:b/>
          <w:color w:val="007E79"/>
          <w:sz w:val="22"/>
          <w:szCs w:val="22"/>
        </w:rPr>
        <w:t>20</w:t>
      </w:r>
    </w:p>
    <w:p w14:paraId="22F08F98" w14:textId="77777777" w:rsidR="00226F32" w:rsidRPr="004C0DD2" w:rsidRDefault="00226F32" w:rsidP="00BD483C">
      <w:pPr>
        <w:spacing w:after="120" w:line="276" w:lineRule="auto"/>
        <w:contextualSpacing/>
        <w:rPr>
          <w:rFonts w:cs="Arial"/>
          <w:sz w:val="12"/>
          <w:szCs w:val="12"/>
        </w:rPr>
      </w:pPr>
    </w:p>
    <w:p w14:paraId="7BAD4759" w14:textId="77777777" w:rsidR="00137FD0" w:rsidRDefault="00137FD0" w:rsidP="00A54157">
      <w:pPr>
        <w:rPr>
          <w:rFonts w:cs="Arial"/>
          <w:sz w:val="20"/>
        </w:rPr>
      </w:pPr>
    </w:p>
    <w:p w14:paraId="5DD7CCB1" w14:textId="6957A029" w:rsidR="00757058" w:rsidRPr="00757058" w:rsidRDefault="005B3282" w:rsidP="00757058">
      <w:pPr>
        <w:rPr>
          <w:rFonts w:cs="Arial"/>
          <w:b/>
          <w:bCs/>
          <w:i/>
          <w:iCs/>
          <w:sz w:val="20"/>
        </w:rPr>
      </w:pPr>
      <w:r>
        <w:rPr>
          <w:rFonts w:cs="Arial"/>
          <w:b/>
          <w:bCs/>
          <w:i/>
          <w:iCs/>
          <w:sz w:val="20"/>
        </w:rPr>
        <w:t>Podniky i obyvatelstvo zvedají své úložky v bankách, úvěry čerpají velmi opatrně</w:t>
      </w:r>
    </w:p>
    <w:p w14:paraId="3AD4880E" w14:textId="77777777" w:rsidR="00757058" w:rsidRPr="00757058" w:rsidRDefault="00757058" w:rsidP="00757058">
      <w:pPr>
        <w:rPr>
          <w:rFonts w:cs="Arial"/>
          <w:i/>
          <w:iCs/>
          <w:sz w:val="20"/>
        </w:rPr>
      </w:pPr>
    </w:p>
    <w:p w14:paraId="0B61988C" w14:textId="4DD6BFF6" w:rsidR="00757058" w:rsidRPr="00757058" w:rsidRDefault="00757058" w:rsidP="00757058">
      <w:pPr>
        <w:rPr>
          <w:rFonts w:cs="Arial"/>
          <w:i/>
          <w:iCs/>
          <w:sz w:val="20"/>
        </w:rPr>
      </w:pPr>
      <w:r w:rsidRPr="006F7B53">
        <w:rPr>
          <w:rFonts w:cs="Arial"/>
          <w:b/>
          <w:bCs/>
          <w:i/>
          <w:iCs/>
          <w:sz w:val="20"/>
        </w:rPr>
        <w:t xml:space="preserve">ČNB </w:t>
      </w:r>
      <w:r w:rsidR="004D2FAE" w:rsidRPr="006F7B53">
        <w:rPr>
          <w:rFonts w:cs="Arial"/>
          <w:b/>
          <w:bCs/>
          <w:i/>
          <w:iCs/>
          <w:sz w:val="20"/>
        </w:rPr>
        <w:t xml:space="preserve">dnes </w:t>
      </w:r>
      <w:r w:rsidRPr="006F7B53">
        <w:rPr>
          <w:rFonts w:cs="Arial"/>
          <w:b/>
          <w:bCs/>
          <w:i/>
          <w:iCs/>
          <w:sz w:val="20"/>
        </w:rPr>
        <w:t xml:space="preserve">vydala </w:t>
      </w:r>
      <w:r w:rsidR="00752FA9" w:rsidRPr="006F7B53">
        <w:rPr>
          <w:rFonts w:cs="Arial"/>
          <w:b/>
          <w:bCs/>
          <w:i/>
          <w:iCs/>
          <w:sz w:val="20"/>
        </w:rPr>
        <w:t>květnovou</w:t>
      </w:r>
      <w:r w:rsidR="00E05F33" w:rsidRPr="006F7B53">
        <w:rPr>
          <w:rFonts w:cs="Arial"/>
          <w:b/>
          <w:bCs/>
          <w:i/>
          <w:iCs/>
          <w:sz w:val="20"/>
        </w:rPr>
        <w:t xml:space="preserve"> </w:t>
      </w:r>
      <w:r w:rsidRPr="006F7B53">
        <w:rPr>
          <w:rFonts w:cs="Arial"/>
          <w:b/>
          <w:bCs/>
          <w:i/>
          <w:iCs/>
          <w:sz w:val="20"/>
        </w:rPr>
        <w:t xml:space="preserve">bankovní statistiku, </w:t>
      </w:r>
      <w:r w:rsidR="00752FA9" w:rsidRPr="006F7B53">
        <w:rPr>
          <w:rFonts w:cs="Arial"/>
          <w:b/>
          <w:bCs/>
          <w:i/>
          <w:iCs/>
          <w:sz w:val="20"/>
        </w:rPr>
        <w:t>která dosud na souhrnných číslech neprokazuje výraznější dopady hlubokého poklesu ekonomiky na rozvahy v Česku působících bank</w:t>
      </w:r>
      <w:r w:rsidR="003E08ED">
        <w:rPr>
          <w:rFonts w:cs="Arial"/>
          <w:b/>
          <w:bCs/>
          <w:i/>
          <w:iCs/>
          <w:sz w:val="20"/>
        </w:rPr>
        <w:t xml:space="preserve">. </w:t>
      </w:r>
      <w:r w:rsidR="00752FA9" w:rsidRPr="006F7B53">
        <w:rPr>
          <w:rFonts w:cs="Arial"/>
          <w:b/>
          <w:bCs/>
          <w:i/>
          <w:iCs/>
          <w:sz w:val="20"/>
        </w:rPr>
        <w:t>O</w:t>
      </w:r>
      <w:r w:rsidRPr="006F7B53">
        <w:rPr>
          <w:rFonts w:cs="Arial"/>
          <w:b/>
          <w:bCs/>
          <w:i/>
          <w:iCs/>
          <w:sz w:val="20"/>
        </w:rPr>
        <w:t>bjem bankovních úvěrů rezidentům</w:t>
      </w:r>
      <w:r w:rsidRPr="00757058">
        <w:rPr>
          <w:rFonts w:cs="Arial"/>
          <w:i/>
          <w:iCs/>
          <w:sz w:val="20"/>
        </w:rPr>
        <w:t xml:space="preserve"> ke konci </w:t>
      </w:r>
      <w:r w:rsidR="00752FA9">
        <w:rPr>
          <w:rFonts w:cs="Arial"/>
          <w:i/>
          <w:iCs/>
          <w:sz w:val="20"/>
        </w:rPr>
        <w:t>května</w:t>
      </w:r>
      <w:r w:rsidRPr="00757058">
        <w:rPr>
          <w:rFonts w:cs="Arial"/>
          <w:i/>
          <w:iCs/>
          <w:sz w:val="20"/>
        </w:rPr>
        <w:t xml:space="preserve"> 2020 dosáhl 6,1</w:t>
      </w:r>
      <w:r w:rsidR="00752FA9">
        <w:rPr>
          <w:rFonts w:cs="Arial"/>
          <w:i/>
          <w:iCs/>
          <w:sz w:val="20"/>
        </w:rPr>
        <w:t>8</w:t>
      </w:r>
      <w:r w:rsidR="00E05F33">
        <w:rPr>
          <w:rFonts w:cs="Arial"/>
          <w:i/>
          <w:iCs/>
          <w:sz w:val="20"/>
        </w:rPr>
        <w:t>6</w:t>
      </w:r>
      <w:r w:rsidRPr="00757058">
        <w:rPr>
          <w:rFonts w:cs="Arial"/>
          <w:i/>
          <w:iCs/>
          <w:sz w:val="20"/>
        </w:rPr>
        <w:t xml:space="preserve"> bilionu korun a proti předchozímu měsíci </w:t>
      </w:r>
      <w:r w:rsidR="00BC7101">
        <w:rPr>
          <w:rFonts w:cs="Arial"/>
          <w:i/>
          <w:iCs/>
          <w:sz w:val="20"/>
        </w:rPr>
        <w:t xml:space="preserve">tak </w:t>
      </w:r>
      <w:r w:rsidR="00E05F33">
        <w:rPr>
          <w:rFonts w:cs="Arial"/>
          <w:i/>
          <w:iCs/>
          <w:sz w:val="20"/>
        </w:rPr>
        <w:t>vzrostl o 1</w:t>
      </w:r>
      <w:r w:rsidR="00752FA9">
        <w:rPr>
          <w:rFonts w:cs="Arial"/>
          <w:i/>
          <w:iCs/>
          <w:sz w:val="20"/>
        </w:rPr>
        <w:t>0</w:t>
      </w:r>
      <w:r w:rsidR="00E05F33">
        <w:rPr>
          <w:rFonts w:cs="Arial"/>
          <w:i/>
          <w:iCs/>
          <w:sz w:val="20"/>
        </w:rPr>
        <w:t xml:space="preserve"> miliard korun. V </w:t>
      </w:r>
      <w:r w:rsidR="00752FA9">
        <w:rPr>
          <w:rFonts w:cs="Arial"/>
          <w:i/>
          <w:iCs/>
          <w:sz w:val="20"/>
        </w:rPr>
        <w:t>dubnu</w:t>
      </w:r>
      <w:r w:rsidR="00E05F33">
        <w:rPr>
          <w:rFonts w:cs="Arial"/>
          <w:i/>
          <w:iCs/>
          <w:sz w:val="20"/>
        </w:rPr>
        <w:t xml:space="preserve"> činil meziměsíční přírůstek</w:t>
      </w:r>
      <w:r w:rsidRPr="00757058">
        <w:rPr>
          <w:rFonts w:cs="Arial"/>
          <w:i/>
          <w:iCs/>
          <w:sz w:val="20"/>
        </w:rPr>
        <w:t xml:space="preserve"> </w:t>
      </w:r>
      <w:r w:rsidR="00752FA9">
        <w:rPr>
          <w:rFonts w:cs="Arial"/>
          <w:i/>
          <w:iCs/>
          <w:sz w:val="20"/>
        </w:rPr>
        <w:t>čtrnáct</w:t>
      </w:r>
      <w:r w:rsidRPr="00757058">
        <w:rPr>
          <w:rFonts w:cs="Arial"/>
          <w:i/>
          <w:iCs/>
          <w:sz w:val="20"/>
        </w:rPr>
        <w:t xml:space="preserve"> miliard korun. </w:t>
      </w:r>
      <w:r w:rsidR="00752FA9">
        <w:rPr>
          <w:rFonts w:cs="Arial"/>
          <w:i/>
          <w:iCs/>
          <w:sz w:val="20"/>
        </w:rPr>
        <w:t xml:space="preserve">Trvá zvýšená aktivita na </w:t>
      </w:r>
      <w:r w:rsidR="00752FA9" w:rsidRPr="006F7B53">
        <w:rPr>
          <w:rFonts w:cs="Arial"/>
          <w:b/>
          <w:bCs/>
          <w:i/>
          <w:iCs/>
          <w:sz w:val="20"/>
        </w:rPr>
        <w:t>vkladech rezidentů, které meziměsíčně stouply</w:t>
      </w:r>
      <w:r w:rsidR="00752FA9">
        <w:rPr>
          <w:rFonts w:cs="Arial"/>
          <w:i/>
          <w:iCs/>
          <w:sz w:val="20"/>
        </w:rPr>
        <w:t xml:space="preserve"> o poměrně vysokých 53 miliard korun a dosáhly 5,469 bilionu korun.</w:t>
      </w:r>
    </w:p>
    <w:p w14:paraId="3A25E7C2" w14:textId="77777777" w:rsidR="00757058" w:rsidRPr="00757058" w:rsidRDefault="00757058" w:rsidP="00757058">
      <w:pPr>
        <w:rPr>
          <w:rFonts w:cs="Arial"/>
          <w:i/>
          <w:iCs/>
          <w:sz w:val="20"/>
        </w:rPr>
      </w:pPr>
    </w:p>
    <w:p w14:paraId="78B5600E" w14:textId="1678D190" w:rsidR="004D2FAE" w:rsidRDefault="00757058" w:rsidP="00757058">
      <w:pPr>
        <w:rPr>
          <w:rFonts w:cs="Arial"/>
          <w:i/>
          <w:iCs/>
          <w:sz w:val="20"/>
        </w:rPr>
      </w:pPr>
      <w:r w:rsidRPr="00757058">
        <w:rPr>
          <w:rFonts w:cs="Arial"/>
          <w:b/>
          <w:bCs/>
          <w:i/>
          <w:iCs/>
          <w:sz w:val="20"/>
        </w:rPr>
        <w:t>Domácnosti dluží celkem 1,7</w:t>
      </w:r>
      <w:r w:rsidR="00752FA9">
        <w:rPr>
          <w:rFonts w:cs="Arial"/>
          <w:b/>
          <w:bCs/>
          <w:i/>
          <w:iCs/>
          <w:sz w:val="20"/>
        </w:rPr>
        <w:t>81</w:t>
      </w:r>
      <w:r w:rsidRPr="00757058">
        <w:rPr>
          <w:rFonts w:cs="Arial"/>
          <w:b/>
          <w:bCs/>
          <w:i/>
          <w:iCs/>
          <w:sz w:val="20"/>
        </w:rPr>
        <w:t xml:space="preserve"> bilionu korun</w:t>
      </w:r>
      <w:r w:rsidRPr="00757058">
        <w:rPr>
          <w:rFonts w:cs="Arial"/>
          <w:i/>
          <w:iCs/>
          <w:sz w:val="20"/>
        </w:rPr>
        <w:t>, s měsíčním ná</w:t>
      </w:r>
      <w:r w:rsidR="00E05F33">
        <w:rPr>
          <w:rFonts w:cs="Arial"/>
          <w:i/>
          <w:iCs/>
          <w:sz w:val="20"/>
        </w:rPr>
        <w:t xml:space="preserve">růstem o </w:t>
      </w:r>
      <w:r w:rsidR="00752FA9">
        <w:rPr>
          <w:rFonts w:cs="Arial"/>
          <w:i/>
          <w:iCs/>
          <w:sz w:val="20"/>
        </w:rPr>
        <w:t>8</w:t>
      </w:r>
      <w:r w:rsidRPr="00757058">
        <w:rPr>
          <w:rFonts w:cs="Arial"/>
          <w:i/>
          <w:iCs/>
          <w:sz w:val="20"/>
        </w:rPr>
        <w:t xml:space="preserve"> miliard korun. Stále jasně </w:t>
      </w:r>
      <w:r w:rsidR="00BC7101" w:rsidRPr="00757058">
        <w:rPr>
          <w:rFonts w:cs="Arial"/>
          <w:i/>
          <w:iCs/>
          <w:sz w:val="20"/>
        </w:rPr>
        <w:t>dominují</w:t>
      </w:r>
      <w:r w:rsidR="00BC7101">
        <w:rPr>
          <w:rFonts w:cs="Arial"/>
          <w:i/>
          <w:iCs/>
          <w:sz w:val="20"/>
        </w:rPr>
        <w:t xml:space="preserve"> – s</w:t>
      </w:r>
      <w:r w:rsidRPr="00757058">
        <w:rPr>
          <w:rFonts w:cs="Arial"/>
          <w:i/>
          <w:iCs/>
          <w:sz w:val="20"/>
        </w:rPr>
        <w:t> podílem téměř 7</w:t>
      </w:r>
      <w:r w:rsidR="00752FA9">
        <w:rPr>
          <w:rFonts w:cs="Arial"/>
          <w:i/>
          <w:iCs/>
          <w:sz w:val="20"/>
        </w:rPr>
        <w:t>7</w:t>
      </w:r>
      <w:r w:rsidRPr="00757058">
        <w:rPr>
          <w:rFonts w:cs="Arial"/>
          <w:i/>
          <w:iCs/>
          <w:sz w:val="20"/>
        </w:rPr>
        <w:t xml:space="preserve"> %</w:t>
      </w:r>
      <w:r w:rsidR="00BC7101">
        <w:rPr>
          <w:rFonts w:cs="Arial"/>
          <w:i/>
          <w:iCs/>
          <w:sz w:val="20"/>
        </w:rPr>
        <w:t xml:space="preserve"> –</w:t>
      </w:r>
      <w:r w:rsidRPr="00757058">
        <w:rPr>
          <w:rFonts w:cs="Arial"/>
          <w:i/>
          <w:iCs/>
          <w:sz w:val="20"/>
        </w:rPr>
        <w:t xml:space="preserve"> úvěry na bydlení, jež dosáhly 1,3</w:t>
      </w:r>
      <w:r w:rsidR="00752FA9">
        <w:rPr>
          <w:rFonts w:cs="Arial"/>
          <w:i/>
          <w:iCs/>
          <w:sz w:val="20"/>
        </w:rPr>
        <w:t>64</w:t>
      </w:r>
      <w:r w:rsidRPr="00757058">
        <w:rPr>
          <w:rFonts w:cs="Arial"/>
          <w:i/>
          <w:iCs/>
          <w:sz w:val="20"/>
        </w:rPr>
        <w:t xml:space="preserve"> bilionu </w:t>
      </w:r>
      <w:r w:rsidR="00BC7101">
        <w:rPr>
          <w:rFonts w:cs="Arial"/>
          <w:i/>
          <w:iCs/>
          <w:sz w:val="20"/>
        </w:rPr>
        <w:t>korun</w:t>
      </w:r>
      <w:r w:rsidR="00752FA9">
        <w:rPr>
          <w:rFonts w:cs="Arial"/>
          <w:i/>
          <w:iCs/>
          <w:sz w:val="20"/>
        </w:rPr>
        <w:t xml:space="preserve">, zatímco spotřebitelské úvěry stagnovaly </w:t>
      </w:r>
      <w:r w:rsidR="002306EA">
        <w:rPr>
          <w:rFonts w:cs="Arial"/>
          <w:i/>
          <w:iCs/>
          <w:sz w:val="20"/>
        </w:rPr>
        <w:t>na úrovni 261 miliard korun</w:t>
      </w:r>
      <w:r w:rsidRPr="00757058">
        <w:rPr>
          <w:rFonts w:cs="Arial"/>
          <w:i/>
          <w:iCs/>
          <w:sz w:val="20"/>
        </w:rPr>
        <w:t xml:space="preserve">. </w:t>
      </w:r>
    </w:p>
    <w:p w14:paraId="340C2D99" w14:textId="77777777" w:rsidR="006F7B53" w:rsidRDefault="006F7B53" w:rsidP="00757058">
      <w:pPr>
        <w:rPr>
          <w:rFonts w:cs="Arial"/>
          <w:i/>
          <w:iCs/>
          <w:sz w:val="20"/>
        </w:rPr>
      </w:pPr>
    </w:p>
    <w:p w14:paraId="5B38E075" w14:textId="5F3EFBE1" w:rsidR="00757058" w:rsidRDefault="00757058" w:rsidP="00757058">
      <w:pPr>
        <w:rPr>
          <w:rFonts w:cs="Arial"/>
          <w:i/>
          <w:iCs/>
          <w:sz w:val="20"/>
        </w:rPr>
      </w:pPr>
      <w:r w:rsidRPr="00757058">
        <w:rPr>
          <w:rFonts w:cs="Arial"/>
          <w:i/>
          <w:iCs/>
          <w:sz w:val="20"/>
        </w:rPr>
        <w:t xml:space="preserve">V případě domácností </w:t>
      </w:r>
      <w:r w:rsidRPr="0067028B">
        <w:rPr>
          <w:rFonts w:cs="Arial"/>
          <w:b/>
          <w:bCs/>
          <w:i/>
          <w:iCs/>
          <w:sz w:val="20"/>
        </w:rPr>
        <w:t>podíl úvěrů v selhání</w:t>
      </w:r>
      <w:r w:rsidRPr="00757058">
        <w:rPr>
          <w:rFonts w:cs="Arial"/>
          <w:i/>
          <w:iCs/>
          <w:sz w:val="20"/>
        </w:rPr>
        <w:t xml:space="preserve"> </w:t>
      </w:r>
      <w:r w:rsidR="00E05F33">
        <w:rPr>
          <w:rFonts w:cs="Arial"/>
          <w:i/>
          <w:iCs/>
          <w:sz w:val="20"/>
        </w:rPr>
        <w:t xml:space="preserve">i </w:t>
      </w:r>
      <w:r w:rsidR="004D2FAE">
        <w:rPr>
          <w:rFonts w:cs="Arial"/>
          <w:i/>
          <w:iCs/>
          <w:sz w:val="20"/>
        </w:rPr>
        <w:t xml:space="preserve">v </w:t>
      </w:r>
      <w:r w:rsidR="0067028B">
        <w:rPr>
          <w:rFonts w:cs="Arial"/>
          <w:i/>
          <w:iCs/>
          <w:sz w:val="20"/>
        </w:rPr>
        <w:t>květnu</w:t>
      </w:r>
      <w:r w:rsidR="00E05F33">
        <w:rPr>
          <w:rFonts w:cs="Arial"/>
          <w:i/>
          <w:iCs/>
          <w:sz w:val="20"/>
        </w:rPr>
        <w:t xml:space="preserve"> zůstal </w:t>
      </w:r>
      <w:r w:rsidR="002306EA">
        <w:rPr>
          <w:rFonts w:cs="Arial"/>
          <w:i/>
          <w:iCs/>
          <w:sz w:val="20"/>
        </w:rPr>
        <w:t xml:space="preserve">již třetí měsíc v řadě </w:t>
      </w:r>
      <w:r w:rsidR="00E05F33">
        <w:rPr>
          <w:rFonts w:cs="Arial"/>
          <w:i/>
          <w:iCs/>
          <w:sz w:val="20"/>
        </w:rPr>
        <w:t>na nízkých</w:t>
      </w:r>
      <w:r w:rsidRPr="00757058">
        <w:rPr>
          <w:rFonts w:cs="Arial"/>
          <w:i/>
          <w:iCs/>
          <w:sz w:val="20"/>
        </w:rPr>
        <w:t xml:space="preserve"> 1,7 %, </w:t>
      </w:r>
      <w:r w:rsidR="00E05F33">
        <w:rPr>
          <w:rFonts w:cs="Arial"/>
          <w:i/>
          <w:iCs/>
          <w:sz w:val="20"/>
        </w:rPr>
        <w:t>ale vypovídací schopnost tohoto důležitého ukazatele poznamenávají poskytnuté odklady splátek, ať již na základě dobrovolné dohody bank s klienty, anebo</w:t>
      </w:r>
      <w:r w:rsidR="004D2FAE">
        <w:rPr>
          <w:rFonts w:cs="Arial"/>
          <w:i/>
          <w:iCs/>
          <w:sz w:val="20"/>
        </w:rPr>
        <w:t xml:space="preserve"> na</w:t>
      </w:r>
      <w:r w:rsidRPr="00757058">
        <w:rPr>
          <w:rFonts w:cs="Arial"/>
          <w:i/>
          <w:iCs/>
          <w:sz w:val="20"/>
        </w:rPr>
        <w:t xml:space="preserve"> základě nedávno přijatého zákona. </w:t>
      </w:r>
    </w:p>
    <w:p w14:paraId="708B3203" w14:textId="77777777" w:rsidR="006F7B53" w:rsidRDefault="006F7B53" w:rsidP="00757058">
      <w:pPr>
        <w:rPr>
          <w:rFonts w:cs="Arial"/>
          <w:i/>
          <w:iCs/>
          <w:sz w:val="20"/>
        </w:rPr>
      </w:pPr>
    </w:p>
    <w:p w14:paraId="43CCB8B5" w14:textId="08F66B9E" w:rsidR="00FE51E5" w:rsidRPr="00757058" w:rsidRDefault="00FE51E5" w:rsidP="00757058">
      <w:pPr>
        <w:rPr>
          <w:rFonts w:cs="Arial"/>
          <w:i/>
          <w:iCs/>
          <w:sz w:val="20"/>
        </w:rPr>
      </w:pPr>
      <w:r w:rsidRPr="0067028B">
        <w:rPr>
          <w:rFonts w:cs="Arial"/>
          <w:b/>
          <w:bCs/>
          <w:i/>
          <w:iCs/>
          <w:sz w:val="20"/>
        </w:rPr>
        <w:t>Obyvatelstvo zvedá svoje finanční rezervy</w:t>
      </w:r>
      <w:r>
        <w:rPr>
          <w:rFonts w:cs="Arial"/>
          <w:i/>
          <w:iCs/>
          <w:sz w:val="20"/>
        </w:rPr>
        <w:t xml:space="preserve"> v bankách, vklady v korunách i v cizí měně v přepočtu meziměsíčně stouply </w:t>
      </w:r>
      <w:r w:rsidR="005B3282">
        <w:rPr>
          <w:rFonts w:cs="Arial"/>
          <w:i/>
          <w:iCs/>
          <w:sz w:val="20"/>
        </w:rPr>
        <w:t>o 19,3 miliardy korun na 2,662 bilionu korun.</w:t>
      </w:r>
    </w:p>
    <w:p w14:paraId="3007C052" w14:textId="77777777" w:rsidR="00757058" w:rsidRPr="00757058" w:rsidRDefault="00757058" w:rsidP="00757058">
      <w:pPr>
        <w:rPr>
          <w:rFonts w:cs="Arial"/>
          <w:i/>
          <w:iCs/>
          <w:sz w:val="20"/>
        </w:rPr>
      </w:pPr>
    </w:p>
    <w:p w14:paraId="47647ABD" w14:textId="77777777" w:rsidR="006F7B53" w:rsidRDefault="002306EA" w:rsidP="002306EA">
      <w:pPr>
        <w:rPr>
          <w:rFonts w:cs="Arial"/>
          <w:i/>
          <w:iCs/>
          <w:sz w:val="20"/>
        </w:rPr>
      </w:pPr>
      <w:r>
        <w:rPr>
          <w:rFonts w:cs="Arial"/>
          <w:i/>
          <w:iCs/>
          <w:sz w:val="20"/>
        </w:rPr>
        <w:t>V</w:t>
      </w:r>
      <w:r w:rsidR="00757058" w:rsidRPr="00757058">
        <w:rPr>
          <w:rFonts w:cs="Arial"/>
          <w:i/>
          <w:iCs/>
          <w:sz w:val="20"/>
        </w:rPr>
        <w:t xml:space="preserve"> případě úvěrů v Česku působícím </w:t>
      </w:r>
      <w:r w:rsidR="006F7B53" w:rsidRPr="006F7B53">
        <w:rPr>
          <w:rFonts w:cs="Arial"/>
          <w:i/>
          <w:iCs/>
          <w:sz w:val="20"/>
        </w:rPr>
        <w:t>(</w:t>
      </w:r>
      <w:r w:rsidR="00757058" w:rsidRPr="006F7B53">
        <w:rPr>
          <w:rFonts w:cs="Arial"/>
          <w:i/>
          <w:iCs/>
          <w:sz w:val="20"/>
        </w:rPr>
        <w:t>nefinančním</w:t>
      </w:r>
      <w:r w:rsidR="006F7B53" w:rsidRPr="006F7B53">
        <w:rPr>
          <w:rFonts w:cs="Arial"/>
          <w:i/>
          <w:iCs/>
          <w:sz w:val="20"/>
        </w:rPr>
        <w:t>)</w:t>
      </w:r>
      <w:r w:rsidR="00757058" w:rsidRPr="006F7B53">
        <w:rPr>
          <w:rFonts w:cs="Arial"/>
          <w:i/>
          <w:iCs/>
          <w:sz w:val="20"/>
        </w:rPr>
        <w:t xml:space="preserve"> </w:t>
      </w:r>
      <w:r w:rsidR="00757058" w:rsidRPr="007A1ABC">
        <w:rPr>
          <w:rFonts w:cs="Arial"/>
          <w:b/>
          <w:bCs/>
          <w:i/>
          <w:iCs/>
          <w:sz w:val="20"/>
        </w:rPr>
        <w:t>podnikům</w:t>
      </w:r>
      <w:r>
        <w:rPr>
          <w:rFonts w:cs="Arial"/>
          <w:b/>
          <w:bCs/>
          <w:i/>
          <w:iCs/>
          <w:sz w:val="20"/>
        </w:rPr>
        <w:t xml:space="preserve"> zaregistrovala ČNB jen nepatrný pokles o 6 miliard korun na </w:t>
      </w:r>
      <w:r w:rsidR="00757058" w:rsidRPr="00757058">
        <w:rPr>
          <w:rFonts w:cs="Arial"/>
          <w:i/>
          <w:iCs/>
          <w:sz w:val="20"/>
        </w:rPr>
        <w:t>1,1</w:t>
      </w:r>
      <w:r>
        <w:rPr>
          <w:rFonts w:cs="Arial"/>
          <w:i/>
          <w:iCs/>
          <w:sz w:val="20"/>
        </w:rPr>
        <w:t>65</w:t>
      </w:r>
      <w:r w:rsidR="00757058" w:rsidRPr="00757058">
        <w:rPr>
          <w:rFonts w:cs="Arial"/>
          <w:i/>
          <w:iCs/>
          <w:sz w:val="20"/>
        </w:rPr>
        <w:t xml:space="preserve"> bilionu korun, přičemž procento úvěrů v selhání </w:t>
      </w:r>
      <w:r>
        <w:rPr>
          <w:rFonts w:cs="Arial"/>
          <w:i/>
          <w:iCs/>
          <w:sz w:val="20"/>
        </w:rPr>
        <w:t xml:space="preserve">se drží </w:t>
      </w:r>
      <w:r w:rsidR="006F7B53">
        <w:rPr>
          <w:rFonts w:cs="Arial"/>
          <w:i/>
          <w:iCs/>
          <w:sz w:val="20"/>
        </w:rPr>
        <w:t>s</w:t>
      </w:r>
      <w:r w:rsidR="006F7B53" w:rsidRPr="00757058">
        <w:rPr>
          <w:rFonts w:cs="Arial"/>
          <w:i/>
          <w:iCs/>
          <w:sz w:val="20"/>
        </w:rPr>
        <w:t xml:space="preserve"> 3,</w:t>
      </w:r>
      <w:r w:rsidR="006F7B53">
        <w:rPr>
          <w:rFonts w:cs="Arial"/>
          <w:i/>
          <w:iCs/>
          <w:sz w:val="20"/>
        </w:rPr>
        <w:t>2</w:t>
      </w:r>
      <w:r w:rsidR="006F7B53" w:rsidRPr="00757058">
        <w:rPr>
          <w:rFonts w:cs="Arial"/>
          <w:i/>
          <w:iCs/>
          <w:sz w:val="20"/>
        </w:rPr>
        <w:t xml:space="preserve"> %</w:t>
      </w:r>
      <w:r w:rsidR="006F7B53">
        <w:rPr>
          <w:rFonts w:cs="Arial"/>
          <w:i/>
          <w:iCs/>
          <w:sz w:val="20"/>
        </w:rPr>
        <w:t xml:space="preserve"> </w:t>
      </w:r>
      <w:r>
        <w:rPr>
          <w:rFonts w:cs="Arial"/>
          <w:i/>
          <w:iCs/>
          <w:sz w:val="20"/>
        </w:rPr>
        <w:t>blízko historických minim</w:t>
      </w:r>
      <w:r w:rsidR="006F7B53">
        <w:rPr>
          <w:rFonts w:cs="Arial"/>
          <w:i/>
          <w:iCs/>
          <w:sz w:val="20"/>
        </w:rPr>
        <w:t>.</w:t>
      </w:r>
    </w:p>
    <w:p w14:paraId="593C3308" w14:textId="77777777" w:rsidR="006F7B53" w:rsidRDefault="006F7B53" w:rsidP="002306EA">
      <w:pPr>
        <w:rPr>
          <w:rFonts w:cs="Arial"/>
          <w:i/>
          <w:iCs/>
          <w:sz w:val="20"/>
        </w:rPr>
      </w:pPr>
    </w:p>
    <w:p w14:paraId="4C5534D7" w14:textId="3217230E" w:rsidR="006E1421" w:rsidRDefault="00757058" w:rsidP="006F7B53">
      <w:pPr>
        <w:rPr>
          <w:rFonts w:cs="Arial"/>
          <w:sz w:val="16"/>
          <w:szCs w:val="16"/>
        </w:rPr>
      </w:pPr>
      <w:r w:rsidRPr="00757058">
        <w:rPr>
          <w:rFonts w:cs="Arial"/>
          <w:i/>
          <w:iCs/>
          <w:sz w:val="20"/>
        </w:rPr>
        <w:t>Podíl dlouhodobých úvěrů, používaných pro financování podnikových investic, je 5</w:t>
      </w:r>
      <w:r w:rsidR="004D2FAE">
        <w:rPr>
          <w:rFonts w:cs="Arial"/>
          <w:i/>
          <w:iCs/>
          <w:sz w:val="20"/>
        </w:rPr>
        <w:t>7</w:t>
      </w:r>
      <w:r w:rsidRPr="00757058">
        <w:rPr>
          <w:rFonts w:cs="Arial"/>
          <w:i/>
          <w:iCs/>
          <w:sz w:val="20"/>
        </w:rPr>
        <w:t xml:space="preserve"> </w:t>
      </w:r>
      <w:r w:rsidRPr="007A1ABC">
        <w:rPr>
          <w:rFonts w:cs="Arial"/>
          <w:bCs/>
          <w:i/>
          <w:iCs/>
          <w:sz w:val="20"/>
        </w:rPr>
        <w:t>%</w:t>
      </w:r>
      <w:r w:rsidRPr="00757058">
        <w:rPr>
          <w:rFonts w:cs="Arial"/>
          <w:b/>
          <w:i/>
          <w:iCs/>
          <w:sz w:val="20"/>
        </w:rPr>
        <w:t xml:space="preserve">. </w:t>
      </w:r>
      <w:r w:rsidR="002306EA">
        <w:rPr>
          <w:rFonts w:cs="Arial"/>
          <w:b/>
          <w:i/>
          <w:iCs/>
          <w:sz w:val="20"/>
        </w:rPr>
        <w:t xml:space="preserve">Podniky intenzivně využívají nevratných výpomocí typu kurzarbeitu a </w:t>
      </w:r>
      <w:r w:rsidR="00FE51E5">
        <w:rPr>
          <w:rFonts w:cs="Arial"/>
          <w:b/>
          <w:i/>
          <w:iCs/>
          <w:sz w:val="20"/>
        </w:rPr>
        <w:t>zvyšují své vklady v bankách, které stouply meziměsíčně 20,7 miliardy korun (včetně cizí měny) na 1,149 bilionu korun. O</w:t>
      </w:r>
      <w:r w:rsidR="005B3282">
        <w:rPr>
          <w:rFonts w:cs="Arial"/>
          <w:b/>
          <w:i/>
          <w:iCs/>
          <w:sz w:val="20"/>
        </w:rPr>
        <w:t xml:space="preserve"> </w:t>
      </w:r>
      <w:r w:rsidR="002306EA">
        <w:rPr>
          <w:rFonts w:cs="Arial"/>
          <w:b/>
          <w:i/>
          <w:iCs/>
          <w:sz w:val="20"/>
        </w:rPr>
        <w:t>úročené programy</w:t>
      </w:r>
      <w:r w:rsidR="002306EA" w:rsidRPr="00757058">
        <w:rPr>
          <w:rFonts w:cs="Arial"/>
          <w:b/>
          <w:i/>
          <w:iCs/>
          <w:sz w:val="20"/>
        </w:rPr>
        <w:t xml:space="preserve"> provozních úvěrů, garantovaných ČMZRB a EGAP</w:t>
      </w:r>
      <w:r w:rsidR="002306EA">
        <w:rPr>
          <w:rFonts w:cs="Arial"/>
          <w:b/>
          <w:i/>
          <w:iCs/>
          <w:sz w:val="20"/>
        </w:rPr>
        <w:t>, známých pod označením Covid III a Covid+, prozatím ne</w:t>
      </w:r>
      <w:r w:rsidR="00FE51E5">
        <w:rPr>
          <w:rFonts w:cs="Arial"/>
          <w:b/>
          <w:i/>
          <w:iCs/>
          <w:sz w:val="20"/>
        </w:rPr>
        <w:t>j</w:t>
      </w:r>
      <w:r w:rsidR="002306EA">
        <w:rPr>
          <w:rFonts w:cs="Arial"/>
          <w:b/>
          <w:i/>
          <w:iCs/>
          <w:sz w:val="20"/>
        </w:rPr>
        <w:t xml:space="preserve">eví valný zájem.  Na financování podnikové sféry se </w:t>
      </w:r>
      <w:r w:rsidR="00FE51E5">
        <w:rPr>
          <w:rFonts w:cs="Arial"/>
          <w:b/>
          <w:i/>
          <w:iCs/>
          <w:sz w:val="20"/>
        </w:rPr>
        <w:t xml:space="preserve">tak jejich čerpání </w:t>
      </w:r>
      <w:r w:rsidR="002306EA">
        <w:rPr>
          <w:rFonts w:cs="Arial"/>
          <w:b/>
          <w:i/>
          <w:iCs/>
          <w:sz w:val="20"/>
        </w:rPr>
        <w:t xml:space="preserve">výrazněji projeví možná až na podzim. </w:t>
      </w:r>
      <w:r w:rsidR="005B3282">
        <w:rPr>
          <w:rFonts w:cs="Arial"/>
          <w:b/>
          <w:i/>
          <w:iCs/>
          <w:sz w:val="20"/>
        </w:rPr>
        <w:t>Potvrzuje se tak zkušenost z minulé krize, že podniky i domácnosti v časech nejistoty se chovají velmi obezřetně a snaží se vytvářet finanční rezervy, pokud jim to jejich situace umožňuje</w:t>
      </w:r>
      <w:r w:rsidR="003E08ED">
        <w:rPr>
          <w:rFonts w:cs="Arial"/>
          <w:b/>
          <w:i/>
          <w:iCs/>
          <w:sz w:val="20"/>
        </w:rPr>
        <w:t>.</w:t>
      </w:r>
    </w:p>
    <w:p w14:paraId="5A712EC7" w14:textId="3938385B" w:rsidR="00662C23" w:rsidRDefault="00256BCC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FB8FA3" wp14:editId="27FD0EBB">
                <wp:simplePos x="0" y="0"/>
                <wp:positionH relativeFrom="margin">
                  <wp:posOffset>635</wp:posOffset>
                </wp:positionH>
                <wp:positionV relativeFrom="paragraph">
                  <wp:posOffset>132080</wp:posOffset>
                </wp:positionV>
                <wp:extent cx="6574790" cy="130302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303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BABA2" w14:textId="77777777"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14:paraId="46543A39" w14:textId="77777777" w:rsidR="005B644B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48FB09D4" w14:textId="6D9D99BA" w:rsidR="005B644B" w:rsidRPr="003C72D7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>Mimo svou konzultantskou praxi v současnosti působí jako ekonomický analytik České bankovní asociace. Ve svém volném</w:t>
                            </w:r>
                            <w:r w:rsidRPr="003C72D7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času je nadšeným zoologem či působí jako lektor postgraduálních vzdělávacích programů.</w:t>
                            </w:r>
                          </w:p>
                          <w:p w14:paraId="61B4E341" w14:textId="77777777"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B8FA3" id="Obdélník 5" o:spid="_x0000_s1027" style="position:absolute;left:0;text-align:left;margin-left:.05pt;margin-top:10.4pt;width:517.7pt;height:102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" fillcolor="#bfbfbf [2412]" stroked="f" strokeweight="1pt">
                <v:textbox inset="3mm,3mm,3mm,3mm">
                  <w:txbxContent>
                    <w:p w14:paraId="40DBABA2" w14:textId="77777777"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14:paraId="46543A39" w14:textId="77777777" w:rsidR="005B644B" w:rsidRDefault="005B644B" w:rsidP="005B644B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48FB09D4" w14:textId="6D9D99BA" w:rsidR="005B644B" w:rsidRPr="003C72D7" w:rsidRDefault="005B644B" w:rsidP="005B644B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>Mimo svou konzultantskou praxi v současnosti působí jako ekonomický analytik České bankovní asociace. Ve svém volném</w:t>
                      </w:r>
                      <w:r w:rsidRPr="003C72D7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času je nadšeným zoologem či působí jako lektor postgraduálních vzdělávacích programů.</w:t>
                      </w:r>
                    </w:p>
                    <w:p w14:paraId="61B4E341" w14:textId="77777777"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1C7CCE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6ECD5FC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6D9F4A5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28B3E7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2E799D2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A04D12C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05D9748E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025930D3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32B2BBD6" w14:textId="77777777"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374866" wp14:editId="33E13DB5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5D3B2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07D74556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88B967B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4E18ED43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2D52F17E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 PR a komunikace ČBA</w:t>
                            </w:r>
                          </w:p>
                          <w:p w14:paraId="6207338E" w14:textId="21266615" w:rsidR="0065124E" w:rsidRPr="00F2719D" w:rsidRDefault="00C56444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4951C50C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1013DDE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74866" id="Obdélník 200" o:spid="_x0000_s1028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" fillcolor="#007e79" stroked="f" strokeweight="1pt">
                <v:fill opacity="56283f"/>
                <v:textbox inset="3mm,3mm,3mm,3mm">
                  <w:txbxContent>
                    <w:p w14:paraId="6E45D3B2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07D74556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88B967B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4E18ED43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2D52F17E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6207338E" w14:textId="21266615" w:rsidR="0065124E" w:rsidRPr="00F2719D" w:rsidRDefault="00C56444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4951C50C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1013DDE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091B9F" wp14:editId="6F759EEA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15B2F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36E409A5" w14:textId="1DA08991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 w:rsidR="00C56444"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91B9F" id="Obdélník 199" o:spid="_x0000_s1029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" fillcolor="#bfbfbf [2412]" stroked="f" strokeweight="1pt">
                <v:textbox inset="3mm,3mm,3mm,3mm">
                  <w:txbxContent>
                    <w:p w14:paraId="6A115B2F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36E409A5" w14:textId="1DA08991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 w:rsidR="00C56444">
                        <w:rPr>
                          <w:rFonts w:cs="Arial"/>
                          <w:szCs w:val="18"/>
                        </w:rPr>
                        <w:t>9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DCC887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A05ADF8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76EFF582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EAA6413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19CE23D1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1440C69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40F7B81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2CDF9F9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8"/>
      <w:footerReference w:type="default" r:id="rId9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DEB4A" w14:textId="77777777" w:rsidR="00BD4889" w:rsidRDefault="00BD4889" w:rsidP="00F573F1">
      <w:r>
        <w:separator/>
      </w:r>
    </w:p>
  </w:endnote>
  <w:endnote w:type="continuationSeparator" w:id="0">
    <w:p w14:paraId="0D188782" w14:textId="77777777" w:rsidR="00BD4889" w:rsidRDefault="00BD4889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0388EA50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5B3282">
          <w:rPr>
            <w:noProof/>
            <w:color w:val="A6A6A6" w:themeColor="background1" w:themeShade="A6"/>
            <w:sz w:val="14"/>
          </w:rPr>
          <w:t>2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691A43A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92FCD" w14:textId="77777777" w:rsidR="00BD4889" w:rsidRDefault="00BD4889" w:rsidP="00F573F1">
      <w:r>
        <w:separator/>
      </w:r>
    </w:p>
  </w:footnote>
  <w:footnote w:type="continuationSeparator" w:id="0">
    <w:p w14:paraId="04B89798" w14:textId="77777777" w:rsidR="00BD4889" w:rsidRDefault="00BD4889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898D6" w14:textId="77777777" w:rsidR="0065124E" w:rsidRDefault="0065124E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44FB191" wp14:editId="605BE7E2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37707"/>
    <w:rsid w:val="00043889"/>
    <w:rsid w:val="00044002"/>
    <w:rsid w:val="00045CE5"/>
    <w:rsid w:val="00051A5B"/>
    <w:rsid w:val="000559DE"/>
    <w:rsid w:val="00057396"/>
    <w:rsid w:val="00060D7F"/>
    <w:rsid w:val="000713AC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F06B0"/>
    <w:rsid w:val="000F70CA"/>
    <w:rsid w:val="0010268F"/>
    <w:rsid w:val="0010277A"/>
    <w:rsid w:val="001126B2"/>
    <w:rsid w:val="0011443F"/>
    <w:rsid w:val="00116F4B"/>
    <w:rsid w:val="00123FF9"/>
    <w:rsid w:val="00131E94"/>
    <w:rsid w:val="00137FD0"/>
    <w:rsid w:val="00144D53"/>
    <w:rsid w:val="00146F46"/>
    <w:rsid w:val="0015125A"/>
    <w:rsid w:val="0015295E"/>
    <w:rsid w:val="001622C2"/>
    <w:rsid w:val="00165DDC"/>
    <w:rsid w:val="0017441E"/>
    <w:rsid w:val="00175A85"/>
    <w:rsid w:val="00176C20"/>
    <w:rsid w:val="0018475E"/>
    <w:rsid w:val="00190B6E"/>
    <w:rsid w:val="00193E69"/>
    <w:rsid w:val="00195C6D"/>
    <w:rsid w:val="001A2623"/>
    <w:rsid w:val="001A46CC"/>
    <w:rsid w:val="001A6304"/>
    <w:rsid w:val="001B37E1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41F9"/>
    <w:rsid w:val="002045A5"/>
    <w:rsid w:val="00205330"/>
    <w:rsid w:val="002137B0"/>
    <w:rsid w:val="00217881"/>
    <w:rsid w:val="0022075B"/>
    <w:rsid w:val="00221FF5"/>
    <w:rsid w:val="00225F51"/>
    <w:rsid w:val="0022648E"/>
    <w:rsid w:val="00226F32"/>
    <w:rsid w:val="00227ACD"/>
    <w:rsid w:val="002306EA"/>
    <w:rsid w:val="002375B2"/>
    <w:rsid w:val="002443DF"/>
    <w:rsid w:val="00244923"/>
    <w:rsid w:val="002472A6"/>
    <w:rsid w:val="00247512"/>
    <w:rsid w:val="0025305E"/>
    <w:rsid w:val="00253D09"/>
    <w:rsid w:val="0025653F"/>
    <w:rsid w:val="002567A3"/>
    <w:rsid w:val="00256BCC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1B58"/>
    <w:rsid w:val="002E5E57"/>
    <w:rsid w:val="002F1752"/>
    <w:rsid w:val="002F477C"/>
    <w:rsid w:val="002F557F"/>
    <w:rsid w:val="003028DC"/>
    <w:rsid w:val="003149F4"/>
    <w:rsid w:val="00315F32"/>
    <w:rsid w:val="00325936"/>
    <w:rsid w:val="00327407"/>
    <w:rsid w:val="00335341"/>
    <w:rsid w:val="00341D86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3A8D"/>
    <w:rsid w:val="00376918"/>
    <w:rsid w:val="00376F07"/>
    <w:rsid w:val="00380788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E6F"/>
    <w:rsid w:val="003C373E"/>
    <w:rsid w:val="003C3D7F"/>
    <w:rsid w:val="003C6326"/>
    <w:rsid w:val="003D079C"/>
    <w:rsid w:val="003D224C"/>
    <w:rsid w:val="003D643D"/>
    <w:rsid w:val="003E08ED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13B"/>
    <w:rsid w:val="004325D3"/>
    <w:rsid w:val="004371EE"/>
    <w:rsid w:val="00437589"/>
    <w:rsid w:val="00445609"/>
    <w:rsid w:val="004476C2"/>
    <w:rsid w:val="00451368"/>
    <w:rsid w:val="004641CC"/>
    <w:rsid w:val="0046651A"/>
    <w:rsid w:val="00470713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0DD2"/>
    <w:rsid w:val="004C50BF"/>
    <w:rsid w:val="004C751A"/>
    <w:rsid w:val="004D2FAE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07FBA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875CD"/>
    <w:rsid w:val="0059556C"/>
    <w:rsid w:val="005A0C34"/>
    <w:rsid w:val="005A2501"/>
    <w:rsid w:val="005A2AAF"/>
    <w:rsid w:val="005A34B6"/>
    <w:rsid w:val="005A3E34"/>
    <w:rsid w:val="005A44FF"/>
    <w:rsid w:val="005A51C6"/>
    <w:rsid w:val="005A5BAB"/>
    <w:rsid w:val="005B3282"/>
    <w:rsid w:val="005B3439"/>
    <w:rsid w:val="005B5E17"/>
    <w:rsid w:val="005B644B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042E"/>
    <w:rsid w:val="00611C5C"/>
    <w:rsid w:val="006131E9"/>
    <w:rsid w:val="0061392C"/>
    <w:rsid w:val="0062336F"/>
    <w:rsid w:val="006318BF"/>
    <w:rsid w:val="0063314F"/>
    <w:rsid w:val="006445A3"/>
    <w:rsid w:val="00650724"/>
    <w:rsid w:val="0065124E"/>
    <w:rsid w:val="006513A0"/>
    <w:rsid w:val="00654F37"/>
    <w:rsid w:val="00661C43"/>
    <w:rsid w:val="00662C23"/>
    <w:rsid w:val="0067028B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C4250"/>
    <w:rsid w:val="006D0EE8"/>
    <w:rsid w:val="006D175B"/>
    <w:rsid w:val="006D23EF"/>
    <w:rsid w:val="006D61DA"/>
    <w:rsid w:val="006E0941"/>
    <w:rsid w:val="006E1421"/>
    <w:rsid w:val="006E1DC5"/>
    <w:rsid w:val="006E3420"/>
    <w:rsid w:val="006E3FA9"/>
    <w:rsid w:val="006F2196"/>
    <w:rsid w:val="006F2B29"/>
    <w:rsid w:val="006F6F64"/>
    <w:rsid w:val="006F7B53"/>
    <w:rsid w:val="00702D07"/>
    <w:rsid w:val="007078D6"/>
    <w:rsid w:val="00712581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52FA9"/>
    <w:rsid w:val="00757058"/>
    <w:rsid w:val="007609D5"/>
    <w:rsid w:val="00771AA1"/>
    <w:rsid w:val="007813D1"/>
    <w:rsid w:val="0078687A"/>
    <w:rsid w:val="00786BB9"/>
    <w:rsid w:val="00786FE5"/>
    <w:rsid w:val="007953B5"/>
    <w:rsid w:val="007964DC"/>
    <w:rsid w:val="007A1AB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281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C1507"/>
    <w:rsid w:val="008C5671"/>
    <w:rsid w:val="008E2336"/>
    <w:rsid w:val="008E41D0"/>
    <w:rsid w:val="008F047E"/>
    <w:rsid w:val="008F2959"/>
    <w:rsid w:val="008F399F"/>
    <w:rsid w:val="009038F9"/>
    <w:rsid w:val="00905AAB"/>
    <w:rsid w:val="009139AF"/>
    <w:rsid w:val="009234FD"/>
    <w:rsid w:val="00924258"/>
    <w:rsid w:val="00924973"/>
    <w:rsid w:val="00931E42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1802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0E0A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37668"/>
    <w:rsid w:val="00A425BA"/>
    <w:rsid w:val="00A4316F"/>
    <w:rsid w:val="00A45FC0"/>
    <w:rsid w:val="00A5314F"/>
    <w:rsid w:val="00A54157"/>
    <w:rsid w:val="00A54B25"/>
    <w:rsid w:val="00A569E0"/>
    <w:rsid w:val="00A60546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6C46"/>
    <w:rsid w:val="00AD20AF"/>
    <w:rsid w:val="00AD3BBF"/>
    <w:rsid w:val="00AE2387"/>
    <w:rsid w:val="00AE6E19"/>
    <w:rsid w:val="00AF09A0"/>
    <w:rsid w:val="00AF18CA"/>
    <w:rsid w:val="00AF58F3"/>
    <w:rsid w:val="00B05777"/>
    <w:rsid w:val="00B15438"/>
    <w:rsid w:val="00B2310C"/>
    <w:rsid w:val="00B24E54"/>
    <w:rsid w:val="00B27646"/>
    <w:rsid w:val="00B37E7F"/>
    <w:rsid w:val="00B44EAC"/>
    <w:rsid w:val="00B506AC"/>
    <w:rsid w:val="00B50E2C"/>
    <w:rsid w:val="00B54F8C"/>
    <w:rsid w:val="00B60C22"/>
    <w:rsid w:val="00B66CA4"/>
    <w:rsid w:val="00B73636"/>
    <w:rsid w:val="00B7657E"/>
    <w:rsid w:val="00B76C42"/>
    <w:rsid w:val="00B81F36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3374"/>
    <w:rsid w:val="00BB50DE"/>
    <w:rsid w:val="00BB7A89"/>
    <w:rsid w:val="00BC0CB8"/>
    <w:rsid w:val="00BC1B82"/>
    <w:rsid w:val="00BC5978"/>
    <w:rsid w:val="00BC7101"/>
    <w:rsid w:val="00BD0100"/>
    <w:rsid w:val="00BD23AA"/>
    <w:rsid w:val="00BD297C"/>
    <w:rsid w:val="00BD483C"/>
    <w:rsid w:val="00BD4889"/>
    <w:rsid w:val="00BD7A55"/>
    <w:rsid w:val="00BE00E4"/>
    <w:rsid w:val="00BE21A8"/>
    <w:rsid w:val="00BE2422"/>
    <w:rsid w:val="00BE2827"/>
    <w:rsid w:val="00BE2D7A"/>
    <w:rsid w:val="00BE48B7"/>
    <w:rsid w:val="00BE53BC"/>
    <w:rsid w:val="00BE5574"/>
    <w:rsid w:val="00BE74B4"/>
    <w:rsid w:val="00BF0B84"/>
    <w:rsid w:val="00BF5F81"/>
    <w:rsid w:val="00BF799F"/>
    <w:rsid w:val="00C04F50"/>
    <w:rsid w:val="00C05E06"/>
    <w:rsid w:val="00C12AFA"/>
    <w:rsid w:val="00C17244"/>
    <w:rsid w:val="00C2020E"/>
    <w:rsid w:val="00C21CA1"/>
    <w:rsid w:val="00C3654D"/>
    <w:rsid w:val="00C44924"/>
    <w:rsid w:val="00C461EB"/>
    <w:rsid w:val="00C51CB5"/>
    <w:rsid w:val="00C520D7"/>
    <w:rsid w:val="00C52E2B"/>
    <w:rsid w:val="00C56444"/>
    <w:rsid w:val="00C57869"/>
    <w:rsid w:val="00C62788"/>
    <w:rsid w:val="00C627A3"/>
    <w:rsid w:val="00C64C2F"/>
    <w:rsid w:val="00C6528A"/>
    <w:rsid w:val="00C7375A"/>
    <w:rsid w:val="00C74048"/>
    <w:rsid w:val="00C74654"/>
    <w:rsid w:val="00C8685C"/>
    <w:rsid w:val="00C87795"/>
    <w:rsid w:val="00C90683"/>
    <w:rsid w:val="00C9786B"/>
    <w:rsid w:val="00CA7866"/>
    <w:rsid w:val="00CB1580"/>
    <w:rsid w:val="00CB4072"/>
    <w:rsid w:val="00CB517A"/>
    <w:rsid w:val="00CC5AF3"/>
    <w:rsid w:val="00CC68BF"/>
    <w:rsid w:val="00CC7C45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5A0D"/>
    <w:rsid w:val="00D670D3"/>
    <w:rsid w:val="00D67470"/>
    <w:rsid w:val="00D67FC9"/>
    <w:rsid w:val="00D775D2"/>
    <w:rsid w:val="00D8118D"/>
    <w:rsid w:val="00D82454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D6CBE"/>
    <w:rsid w:val="00DF431A"/>
    <w:rsid w:val="00DF6D21"/>
    <w:rsid w:val="00E02136"/>
    <w:rsid w:val="00E03E17"/>
    <w:rsid w:val="00E05F33"/>
    <w:rsid w:val="00E06813"/>
    <w:rsid w:val="00E10053"/>
    <w:rsid w:val="00E27F2F"/>
    <w:rsid w:val="00E315D6"/>
    <w:rsid w:val="00E3317B"/>
    <w:rsid w:val="00E3386F"/>
    <w:rsid w:val="00E350BD"/>
    <w:rsid w:val="00E355CA"/>
    <w:rsid w:val="00E373B4"/>
    <w:rsid w:val="00E528C6"/>
    <w:rsid w:val="00E54596"/>
    <w:rsid w:val="00E56000"/>
    <w:rsid w:val="00E56378"/>
    <w:rsid w:val="00E57EA4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0545"/>
    <w:rsid w:val="00EA41EA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303C"/>
    <w:rsid w:val="00F15E8D"/>
    <w:rsid w:val="00F175AF"/>
    <w:rsid w:val="00F2096A"/>
    <w:rsid w:val="00F20EAB"/>
    <w:rsid w:val="00F247BC"/>
    <w:rsid w:val="00F24BDA"/>
    <w:rsid w:val="00F2719D"/>
    <w:rsid w:val="00F313E8"/>
    <w:rsid w:val="00F36405"/>
    <w:rsid w:val="00F36C89"/>
    <w:rsid w:val="00F53132"/>
    <w:rsid w:val="00F5456A"/>
    <w:rsid w:val="00F545FC"/>
    <w:rsid w:val="00F573F1"/>
    <w:rsid w:val="00F57CAC"/>
    <w:rsid w:val="00F628D3"/>
    <w:rsid w:val="00F66320"/>
    <w:rsid w:val="00F6767A"/>
    <w:rsid w:val="00F67E6A"/>
    <w:rsid w:val="00F7568A"/>
    <w:rsid w:val="00F81073"/>
    <w:rsid w:val="00F83EEA"/>
    <w:rsid w:val="00F8461A"/>
    <w:rsid w:val="00F87FA4"/>
    <w:rsid w:val="00F90063"/>
    <w:rsid w:val="00F91222"/>
    <w:rsid w:val="00F91AAF"/>
    <w:rsid w:val="00F924F0"/>
    <w:rsid w:val="00F9267B"/>
    <w:rsid w:val="00F935A1"/>
    <w:rsid w:val="00F94AE5"/>
    <w:rsid w:val="00F970A7"/>
    <w:rsid w:val="00F9738D"/>
    <w:rsid w:val="00FA2228"/>
    <w:rsid w:val="00FA59C6"/>
    <w:rsid w:val="00FB4A1C"/>
    <w:rsid w:val="00FB60CC"/>
    <w:rsid w:val="00FB60FB"/>
    <w:rsid w:val="00FC0FF9"/>
    <w:rsid w:val="00FC23C7"/>
    <w:rsid w:val="00FC5A6D"/>
    <w:rsid w:val="00FC5B2A"/>
    <w:rsid w:val="00FD12DB"/>
    <w:rsid w:val="00FD1306"/>
    <w:rsid w:val="00FD368F"/>
    <w:rsid w:val="00FD3713"/>
    <w:rsid w:val="00FD57E2"/>
    <w:rsid w:val="00FD77C2"/>
    <w:rsid w:val="00FE2ED7"/>
    <w:rsid w:val="00FE51E5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58FC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C0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9248F-7E4B-4056-B413-4FD64B30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Andrea Trudičová</cp:lastModifiedBy>
  <cp:revision>3</cp:revision>
  <cp:lastPrinted>2019-08-27T11:23:00Z</cp:lastPrinted>
  <dcterms:created xsi:type="dcterms:W3CDTF">2020-06-30T09:09:00Z</dcterms:created>
  <dcterms:modified xsi:type="dcterms:W3CDTF">2020-07-01T08:28:00Z</dcterms:modified>
</cp:coreProperties>
</file>