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27E" w:rsidRDefault="00315195" w:rsidP="00A5427E">
      <w:pPr>
        <w:spacing w:after="7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1A5199" wp14:editId="5DB90238">
                <wp:simplePos x="0" y="0"/>
                <wp:positionH relativeFrom="margin">
                  <wp:posOffset>5219700</wp:posOffset>
                </wp:positionH>
                <wp:positionV relativeFrom="paragraph">
                  <wp:posOffset>-884555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95" w:rsidRDefault="00315195" w:rsidP="00315195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:rsidR="00315195" w:rsidRPr="00517111" w:rsidRDefault="00315195" w:rsidP="00315195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 w:rsidR="00A5427E">
                              <w:rPr>
                                <w:color w:val="BFBFBF" w:themeColor="background1" w:themeShade="BF"/>
                              </w:rPr>
                              <w:t>8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. 06.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1A519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1pt;margin-top:-69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HFYZmDgAAAADAEAAA8AAAAAAAAAAAAAAAAAbQQAAGRycy9kb3ducmV2LnhtbFBLBQYAAAAA&#10;BAAEAPMAAAB6BQAAAAA=&#10;" filled="f" stroked="f">
                <v:textbox style="mso-fit-shape-to-text:t">
                  <w:txbxContent>
                    <w:p w14:paraId="4BDB6B6B" w14:textId="77777777" w:rsidR="00315195" w:rsidRDefault="00315195" w:rsidP="00315195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3BB4BD24" w14:textId="77777777" w:rsidR="00315195" w:rsidRPr="00517111" w:rsidRDefault="00315195" w:rsidP="00315195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</w:t>
                      </w:r>
                      <w:r w:rsidR="00A5427E">
                        <w:rPr>
                          <w:color w:val="BFBFBF" w:themeColor="background1" w:themeShade="BF"/>
                        </w:rPr>
                        <w:t>8</w:t>
                      </w:r>
                      <w:r>
                        <w:rPr>
                          <w:color w:val="BFBFBF" w:themeColor="background1" w:themeShade="BF"/>
                        </w:rPr>
                        <w:t>. 06.</w:t>
                      </w:r>
                      <w:r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427E" w:rsidRPr="00A5427E">
        <w:rPr>
          <w:rFonts w:cs="Arial"/>
          <w:b/>
          <w:color w:val="007E79"/>
          <w:sz w:val="28"/>
          <w:szCs w:val="28"/>
        </w:rPr>
        <w:t>K</w:t>
      </w:r>
      <w:r w:rsidR="00D11287">
        <w:rPr>
          <w:rFonts w:cs="Arial"/>
          <w:b/>
          <w:color w:val="007E79"/>
          <w:sz w:val="28"/>
          <w:szCs w:val="28"/>
        </w:rPr>
        <w:t>E ZPRÁVĚ O FINANČNÍ STABILITĚ:</w:t>
      </w:r>
      <w:r w:rsidR="00A5427E" w:rsidRPr="00A5427E">
        <w:rPr>
          <w:rFonts w:cs="Arial"/>
          <w:b/>
          <w:color w:val="007E79"/>
          <w:sz w:val="28"/>
          <w:szCs w:val="28"/>
        </w:rPr>
        <w:t xml:space="preserve"> </w:t>
      </w:r>
    </w:p>
    <w:p w:rsidR="006E15C4" w:rsidRPr="00B35B21" w:rsidRDefault="00360085" w:rsidP="00A5427E">
      <w:pPr>
        <w:spacing w:after="120" w:line="276" w:lineRule="auto"/>
        <w:contextualSpacing/>
        <w:rPr>
          <w:rFonts w:cs="Arial"/>
          <w:b/>
          <w:sz w:val="20"/>
        </w:rPr>
      </w:pPr>
      <w:r>
        <w:rPr>
          <w:rFonts w:cs="Arial"/>
          <w:b/>
          <w:color w:val="007E79"/>
          <w:sz w:val="28"/>
          <w:szCs w:val="28"/>
        </w:rPr>
        <w:t>České banky jsou na krizi dobře připraveny</w:t>
      </w:r>
    </w:p>
    <w:p w:rsidR="00735541" w:rsidRPr="004B06DC" w:rsidRDefault="00735541" w:rsidP="00315195">
      <w:pPr>
        <w:rPr>
          <w:rFonts w:cs="Arial"/>
          <w:b/>
          <w:bCs/>
          <w:sz w:val="20"/>
          <w:szCs w:val="22"/>
        </w:rPr>
      </w:pPr>
    </w:p>
    <w:p w:rsidR="00E32329" w:rsidRPr="004B06DC" w:rsidRDefault="004B06DC" w:rsidP="00A5427E">
      <w:pPr>
        <w:spacing w:line="276" w:lineRule="auto"/>
        <w:rPr>
          <w:rFonts w:cs="Arial"/>
          <w:b/>
          <w:bCs/>
          <w:sz w:val="20"/>
          <w:szCs w:val="22"/>
        </w:rPr>
      </w:pPr>
      <w:r>
        <w:rPr>
          <w:rFonts w:cs="Arial"/>
          <w:b/>
          <w:bCs/>
          <w:sz w:val="20"/>
          <w:szCs w:val="22"/>
        </w:rPr>
        <w:t>Praha, 18. června 2020</w:t>
      </w:r>
      <w:r w:rsidR="00360085">
        <w:rPr>
          <w:rFonts w:cs="Arial"/>
          <w:b/>
          <w:bCs/>
          <w:sz w:val="20"/>
          <w:szCs w:val="22"/>
        </w:rPr>
        <w:t xml:space="preserve"> - </w:t>
      </w:r>
      <w:r w:rsidR="00D11287" w:rsidRPr="004B06DC">
        <w:rPr>
          <w:rFonts w:cs="Arial"/>
          <w:b/>
          <w:bCs/>
          <w:sz w:val="20"/>
          <w:szCs w:val="22"/>
        </w:rPr>
        <w:t>Údaje, dnes zveřejněné Českou národní bankou potvrzují, že banky jsou</w:t>
      </w:r>
      <w:r w:rsidR="00CF71E8" w:rsidRPr="004B06DC">
        <w:rPr>
          <w:rFonts w:cs="Arial"/>
          <w:b/>
          <w:bCs/>
          <w:sz w:val="20"/>
          <w:szCs w:val="22"/>
        </w:rPr>
        <w:t xml:space="preserve"> stabilní</w:t>
      </w:r>
      <w:r w:rsidR="00D11287" w:rsidRPr="004B06DC">
        <w:rPr>
          <w:rFonts w:cs="Arial"/>
          <w:b/>
          <w:bCs/>
          <w:sz w:val="20"/>
          <w:szCs w:val="22"/>
        </w:rPr>
        <w:t xml:space="preserve"> </w:t>
      </w:r>
      <w:r w:rsidR="00CF71E8" w:rsidRPr="004B06DC">
        <w:rPr>
          <w:rFonts w:cs="Arial"/>
          <w:b/>
          <w:bCs/>
          <w:sz w:val="20"/>
          <w:szCs w:val="22"/>
        </w:rPr>
        <w:t xml:space="preserve">a jsou </w:t>
      </w:r>
      <w:r w:rsidR="00D11287" w:rsidRPr="004B06DC">
        <w:rPr>
          <w:rFonts w:cs="Arial"/>
          <w:b/>
          <w:bCs/>
          <w:sz w:val="20"/>
          <w:szCs w:val="22"/>
        </w:rPr>
        <w:t>na krizi dobře připraveny</w:t>
      </w:r>
      <w:r w:rsidR="00CF71E8" w:rsidRPr="004B06DC">
        <w:rPr>
          <w:rFonts w:cs="Arial"/>
          <w:b/>
          <w:bCs/>
          <w:sz w:val="20"/>
          <w:szCs w:val="22"/>
        </w:rPr>
        <w:t>. D</w:t>
      </w:r>
      <w:r w:rsidR="00D11287" w:rsidRPr="004B06DC">
        <w:rPr>
          <w:rFonts w:cs="Arial"/>
          <w:b/>
          <w:bCs/>
          <w:sz w:val="20"/>
          <w:szCs w:val="22"/>
        </w:rPr>
        <w:t xml:space="preserve">isponují velkým kapitálovým polštářem, který jim umožní nejen čelit dopadům krize na jejich klienty, ale také </w:t>
      </w:r>
      <w:r w:rsidR="00CF71E8" w:rsidRPr="004B06DC">
        <w:rPr>
          <w:rFonts w:cs="Arial"/>
          <w:b/>
          <w:bCs/>
          <w:sz w:val="20"/>
          <w:szCs w:val="22"/>
        </w:rPr>
        <w:t xml:space="preserve">se významně a </w:t>
      </w:r>
      <w:r w:rsidR="00D11287" w:rsidRPr="004B06DC">
        <w:rPr>
          <w:rFonts w:cs="Arial"/>
          <w:b/>
          <w:bCs/>
          <w:sz w:val="20"/>
          <w:szCs w:val="22"/>
        </w:rPr>
        <w:t>aktivn</w:t>
      </w:r>
      <w:r w:rsidR="00CF71E8" w:rsidRPr="004B06DC">
        <w:rPr>
          <w:rFonts w:cs="Arial"/>
          <w:b/>
          <w:bCs/>
          <w:sz w:val="20"/>
          <w:szCs w:val="22"/>
        </w:rPr>
        <w:t>ě podílet na opatřeních, která ekonomiku vyvedou z krize.</w:t>
      </w:r>
      <w:r w:rsidR="008D493F">
        <w:rPr>
          <w:rFonts w:cs="Arial"/>
          <w:b/>
          <w:bCs/>
          <w:sz w:val="20"/>
          <w:szCs w:val="22"/>
        </w:rPr>
        <w:t xml:space="preserve"> </w:t>
      </w:r>
    </w:p>
    <w:p w:rsidR="00E32329" w:rsidRDefault="00E32329" w:rsidP="00A5427E">
      <w:pPr>
        <w:spacing w:line="276" w:lineRule="auto"/>
        <w:rPr>
          <w:rFonts w:cs="Arial"/>
          <w:sz w:val="20"/>
          <w:szCs w:val="22"/>
        </w:rPr>
      </w:pPr>
    </w:p>
    <w:p w:rsidR="00CF71E8" w:rsidRDefault="00E32329" w:rsidP="00A5427E">
      <w:pPr>
        <w:spacing w:line="276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Výsledky </w:t>
      </w:r>
      <w:r w:rsidR="00CF71E8">
        <w:rPr>
          <w:rFonts w:cs="Arial"/>
          <w:sz w:val="20"/>
          <w:szCs w:val="22"/>
        </w:rPr>
        <w:t>zátěžov</w:t>
      </w:r>
      <w:r>
        <w:rPr>
          <w:rFonts w:cs="Arial"/>
          <w:sz w:val="20"/>
          <w:szCs w:val="22"/>
        </w:rPr>
        <w:t>ých</w:t>
      </w:r>
      <w:r w:rsidR="00CF71E8">
        <w:rPr>
          <w:rFonts w:cs="Arial"/>
          <w:sz w:val="20"/>
          <w:szCs w:val="22"/>
        </w:rPr>
        <w:t xml:space="preserve"> test</w:t>
      </w:r>
      <w:r>
        <w:rPr>
          <w:rFonts w:cs="Arial"/>
          <w:sz w:val="20"/>
          <w:szCs w:val="22"/>
        </w:rPr>
        <w:t xml:space="preserve">ů ČNB </w:t>
      </w:r>
      <w:r w:rsidR="004B06DC">
        <w:rPr>
          <w:rFonts w:cs="Arial"/>
          <w:sz w:val="20"/>
          <w:szCs w:val="22"/>
        </w:rPr>
        <w:t xml:space="preserve">navíc </w:t>
      </w:r>
      <w:r>
        <w:rPr>
          <w:rFonts w:cs="Arial"/>
          <w:sz w:val="20"/>
          <w:szCs w:val="22"/>
        </w:rPr>
        <w:t>potvrdily, že banky zůstanou stabilní v základním scénáři testů, který je dokonce nepříznivější</w:t>
      </w:r>
      <w:r w:rsidR="004B06DC">
        <w:rPr>
          <w:rFonts w:cs="Arial"/>
          <w:sz w:val="20"/>
          <w:szCs w:val="22"/>
        </w:rPr>
        <w:t>,</w:t>
      </w:r>
      <w:r>
        <w:rPr>
          <w:rFonts w:cs="Arial"/>
          <w:sz w:val="20"/>
          <w:szCs w:val="22"/>
        </w:rPr>
        <w:t xml:space="preserve"> než bylo indikováno v poslední prognóze ČNB</w:t>
      </w:r>
      <w:r w:rsidR="004B06DC">
        <w:rPr>
          <w:rFonts w:cs="Arial"/>
          <w:sz w:val="20"/>
          <w:szCs w:val="22"/>
        </w:rPr>
        <w:t xml:space="preserve">. Stávající </w:t>
      </w:r>
      <w:r>
        <w:rPr>
          <w:rFonts w:cs="Arial"/>
          <w:sz w:val="20"/>
          <w:szCs w:val="22"/>
        </w:rPr>
        <w:t xml:space="preserve">kapitálová síla bank </w:t>
      </w:r>
      <w:r w:rsidR="00AD5174">
        <w:rPr>
          <w:rFonts w:cs="Arial"/>
          <w:sz w:val="20"/>
          <w:szCs w:val="22"/>
        </w:rPr>
        <w:t xml:space="preserve">také </w:t>
      </w:r>
      <w:r>
        <w:rPr>
          <w:rFonts w:cs="Arial"/>
          <w:sz w:val="20"/>
          <w:szCs w:val="22"/>
        </w:rPr>
        <w:t>výrazně pomůže</w:t>
      </w:r>
      <w:r w:rsidR="004B06DC">
        <w:rPr>
          <w:rFonts w:cs="Arial"/>
          <w:sz w:val="20"/>
          <w:szCs w:val="22"/>
        </w:rPr>
        <w:t xml:space="preserve"> bankovnímu systému čelit i scénáři nepříznivému, který byl</w:t>
      </w:r>
      <w:r w:rsidR="00AD5174">
        <w:rPr>
          <w:rFonts w:cs="Arial"/>
          <w:sz w:val="20"/>
          <w:szCs w:val="22"/>
        </w:rPr>
        <w:t xml:space="preserve"> centrální bankou</w:t>
      </w:r>
      <w:r w:rsidR="004B06DC">
        <w:rPr>
          <w:rFonts w:cs="Arial"/>
          <w:sz w:val="20"/>
          <w:szCs w:val="22"/>
        </w:rPr>
        <w:t xml:space="preserve"> označen jako krajně nepravděpodobný.</w:t>
      </w:r>
    </w:p>
    <w:p w:rsidR="008D493F" w:rsidRDefault="008D493F" w:rsidP="00A5427E">
      <w:pPr>
        <w:spacing w:line="276" w:lineRule="auto"/>
        <w:rPr>
          <w:rFonts w:cs="Arial"/>
          <w:sz w:val="20"/>
          <w:szCs w:val="22"/>
        </w:rPr>
      </w:pPr>
    </w:p>
    <w:p w:rsidR="00A5427E" w:rsidRDefault="00A5427E" w:rsidP="00A5427E">
      <w:pPr>
        <w:spacing w:line="276" w:lineRule="auto"/>
        <w:rPr>
          <w:rFonts w:cs="Arial"/>
          <w:sz w:val="20"/>
          <w:szCs w:val="22"/>
        </w:rPr>
      </w:pPr>
      <w:r w:rsidRPr="00A5427E">
        <w:rPr>
          <w:rFonts w:cs="Arial"/>
          <w:i/>
          <w:iCs/>
          <w:sz w:val="20"/>
          <w:szCs w:val="22"/>
        </w:rPr>
        <w:t>„Potvrzuje se, jak je dobře, že se české banky chovaly v posledních dvou dekádách konzervativně a vytvářely systematicky velké kapitálové polštáře. Jsou teď o mnoho silnější a lépe připravené, než byly například v roce 2008, když vypukla minulá velká krize,“</w:t>
      </w:r>
      <w:r w:rsidRPr="00A5427E">
        <w:rPr>
          <w:rFonts w:cs="Arial"/>
          <w:sz w:val="20"/>
          <w:szCs w:val="22"/>
        </w:rPr>
        <w:t xml:space="preserve"> komentuje výsledky letošních zátěžových testů Pavel Štěpánek, výkonný ředitel Č</w:t>
      </w:r>
      <w:r w:rsidR="001C0277">
        <w:rPr>
          <w:rFonts w:cs="Arial"/>
          <w:sz w:val="20"/>
          <w:szCs w:val="22"/>
        </w:rPr>
        <w:t>eské bankovní asociace (Č</w:t>
      </w:r>
      <w:r w:rsidRPr="00A5427E">
        <w:rPr>
          <w:rFonts w:cs="Arial"/>
          <w:sz w:val="20"/>
          <w:szCs w:val="22"/>
        </w:rPr>
        <w:t>BA</w:t>
      </w:r>
      <w:r w:rsidR="001C0277">
        <w:rPr>
          <w:rFonts w:cs="Arial"/>
          <w:sz w:val="20"/>
          <w:szCs w:val="22"/>
        </w:rPr>
        <w:t>)</w:t>
      </w:r>
      <w:r w:rsidR="00812928">
        <w:rPr>
          <w:rFonts w:cs="Arial"/>
          <w:sz w:val="20"/>
          <w:szCs w:val="22"/>
        </w:rPr>
        <w:t xml:space="preserve">. </w:t>
      </w:r>
    </w:p>
    <w:p w:rsidR="00812928" w:rsidRPr="00A5427E" w:rsidRDefault="00812928" w:rsidP="00A5427E">
      <w:pPr>
        <w:spacing w:line="276" w:lineRule="auto"/>
        <w:rPr>
          <w:rFonts w:cs="Arial"/>
          <w:sz w:val="20"/>
          <w:szCs w:val="22"/>
        </w:rPr>
      </w:pPr>
    </w:p>
    <w:p w:rsidR="00315195" w:rsidRDefault="00A5427E" w:rsidP="00A5427E">
      <w:pPr>
        <w:spacing w:line="276" w:lineRule="auto"/>
        <w:rPr>
          <w:rFonts w:cs="Arial"/>
          <w:i/>
          <w:iCs/>
          <w:sz w:val="20"/>
          <w:szCs w:val="22"/>
        </w:rPr>
      </w:pPr>
      <w:r w:rsidRPr="00A5427E">
        <w:rPr>
          <w:rFonts w:cs="Arial"/>
          <w:i/>
          <w:iCs/>
          <w:sz w:val="20"/>
          <w:szCs w:val="22"/>
        </w:rPr>
        <w:t>„Přebytek volného kapitálu nad jeho minimální úrovní, požadovanou regulátorem, umož</w:t>
      </w:r>
      <w:r w:rsidR="00812928">
        <w:rPr>
          <w:rFonts w:cs="Arial"/>
          <w:i/>
          <w:iCs/>
          <w:sz w:val="20"/>
          <w:szCs w:val="22"/>
        </w:rPr>
        <w:t>ňuje</w:t>
      </w:r>
      <w:r w:rsidRPr="00A5427E">
        <w:rPr>
          <w:rFonts w:cs="Arial"/>
          <w:i/>
          <w:iCs/>
          <w:sz w:val="20"/>
          <w:szCs w:val="22"/>
        </w:rPr>
        <w:t xml:space="preserve"> bankám podpořit ekonomické oživení,“</w:t>
      </w:r>
      <w:r w:rsidRPr="00A5427E">
        <w:rPr>
          <w:rFonts w:cs="Arial"/>
          <w:sz w:val="20"/>
          <w:szCs w:val="22"/>
        </w:rPr>
        <w:t xml:space="preserve"> předpovídá Pavel Štěpánek a </w:t>
      </w:r>
      <w:r>
        <w:rPr>
          <w:rFonts w:cs="Arial"/>
          <w:sz w:val="20"/>
          <w:szCs w:val="22"/>
        </w:rPr>
        <w:t xml:space="preserve">současně </w:t>
      </w:r>
      <w:r w:rsidRPr="00A5427E">
        <w:rPr>
          <w:rFonts w:cs="Arial"/>
          <w:sz w:val="20"/>
          <w:szCs w:val="22"/>
        </w:rPr>
        <w:t>dodává</w:t>
      </w:r>
      <w:r w:rsidRPr="00A5427E">
        <w:rPr>
          <w:rFonts w:cs="Arial"/>
          <w:i/>
          <w:iCs/>
          <w:sz w:val="20"/>
          <w:szCs w:val="22"/>
        </w:rPr>
        <w:t>: „účast bank v programech COVID, včetně toho, že banky na sebe vzaly značnou část rizika poskytovaných úvěrů, je toho nejlepším dokladem. Umožnilo to řešit bezprostřední likviditní problémy firem i drobných klientů. V dalším kroku budou banky hrát zásadní roli v obnovení investiční aktivity, včetně své účasti na projektech Národního rozvojového fondu</w:t>
      </w:r>
      <w:r w:rsidR="001C0277">
        <w:rPr>
          <w:rFonts w:cs="Arial"/>
          <w:i/>
          <w:iCs/>
          <w:sz w:val="20"/>
          <w:szCs w:val="22"/>
        </w:rPr>
        <w:t xml:space="preserve">.“ </w:t>
      </w:r>
      <w:r w:rsidR="001C0277" w:rsidRPr="001C0277">
        <w:rPr>
          <w:rFonts w:cs="Arial"/>
          <w:sz w:val="20"/>
          <w:szCs w:val="22"/>
        </w:rPr>
        <w:t>Ž</w:t>
      </w:r>
      <w:r w:rsidRPr="001C0277">
        <w:rPr>
          <w:rFonts w:cs="Arial"/>
          <w:sz w:val="20"/>
          <w:szCs w:val="22"/>
        </w:rPr>
        <w:t xml:space="preserve">ádost </w:t>
      </w:r>
      <w:r w:rsidR="001C0277" w:rsidRPr="001C0277">
        <w:rPr>
          <w:rFonts w:cs="Arial"/>
          <w:sz w:val="20"/>
          <w:szCs w:val="22"/>
        </w:rPr>
        <w:t xml:space="preserve">fondu </w:t>
      </w:r>
      <w:r w:rsidRPr="001C0277">
        <w:rPr>
          <w:rFonts w:cs="Arial"/>
          <w:sz w:val="20"/>
          <w:szCs w:val="22"/>
        </w:rPr>
        <w:t>o licenci nyní posuzuje ČNB. Předpokládá se, že by mohl zahájit činnost ještě v tomto roce.</w:t>
      </w:r>
      <w:r w:rsidR="00315195" w:rsidRPr="00A5427E">
        <w:rPr>
          <w:rFonts w:cs="Arial"/>
          <w:i/>
          <w:iCs/>
          <w:sz w:val="20"/>
          <w:szCs w:val="22"/>
        </w:rPr>
        <w:t xml:space="preserve"> </w:t>
      </w:r>
    </w:p>
    <w:p w:rsidR="008D493F" w:rsidRDefault="008D493F" w:rsidP="00A5427E">
      <w:pPr>
        <w:spacing w:line="276" w:lineRule="auto"/>
        <w:rPr>
          <w:rFonts w:cs="Arial"/>
          <w:i/>
          <w:iCs/>
          <w:sz w:val="20"/>
          <w:szCs w:val="22"/>
        </w:rPr>
      </w:pPr>
    </w:p>
    <w:p w:rsidR="00360085" w:rsidRPr="00360085" w:rsidRDefault="00360085" w:rsidP="008D493F">
      <w:pPr>
        <w:spacing w:line="276" w:lineRule="auto"/>
        <w:rPr>
          <w:rFonts w:cs="Arial"/>
          <w:b/>
          <w:bCs/>
          <w:sz w:val="20"/>
          <w:szCs w:val="22"/>
        </w:rPr>
      </w:pPr>
      <w:r w:rsidRPr="00360085">
        <w:rPr>
          <w:rFonts w:cs="Arial"/>
          <w:b/>
          <w:bCs/>
          <w:sz w:val="20"/>
          <w:szCs w:val="22"/>
        </w:rPr>
        <w:t>Komentář</w:t>
      </w:r>
      <w:r>
        <w:rPr>
          <w:rFonts w:cs="Arial"/>
          <w:b/>
          <w:bCs/>
          <w:sz w:val="20"/>
          <w:szCs w:val="22"/>
        </w:rPr>
        <w:t>e</w:t>
      </w:r>
      <w:r w:rsidRPr="00360085">
        <w:rPr>
          <w:rFonts w:cs="Arial"/>
          <w:b/>
          <w:bCs/>
          <w:sz w:val="20"/>
          <w:szCs w:val="22"/>
        </w:rPr>
        <w:t xml:space="preserve"> Pavla Štěpánka</w:t>
      </w:r>
      <w:r>
        <w:rPr>
          <w:rFonts w:cs="Arial"/>
          <w:b/>
          <w:bCs/>
          <w:sz w:val="20"/>
          <w:szCs w:val="22"/>
        </w:rPr>
        <w:t>, výkonného ředitele ČBA,</w:t>
      </w:r>
      <w:r w:rsidRPr="00360085">
        <w:rPr>
          <w:rFonts w:cs="Arial"/>
          <w:b/>
          <w:bCs/>
          <w:sz w:val="20"/>
          <w:szCs w:val="22"/>
        </w:rPr>
        <w:t xml:space="preserve"> k</w:t>
      </w:r>
      <w:r w:rsidR="009B5C0B" w:rsidRPr="00360085">
        <w:rPr>
          <w:rFonts w:cs="Arial"/>
          <w:b/>
          <w:bCs/>
          <w:sz w:val="20"/>
          <w:szCs w:val="22"/>
        </w:rPr>
        <w:t xml:space="preserve"> </w:t>
      </w:r>
      <w:r w:rsidRPr="00360085">
        <w:rPr>
          <w:rFonts w:cs="Arial"/>
          <w:b/>
          <w:bCs/>
          <w:sz w:val="20"/>
          <w:szCs w:val="22"/>
        </w:rPr>
        <w:t>dnes ČNB oznámeným opatřením:</w:t>
      </w:r>
    </w:p>
    <w:p w:rsidR="00360085" w:rsidRPr="00360085" w:rsidRDefault="00360085" w:rsidP="008D493F">
      <w:pPr>
        <w:spacing w:line="276" w:lineRule="auto"/>
        <w:rPr>
          <w:rFonts w:cs="Arial"/>
          <w:i/>
          <w:iCs/>
          <w:sz w:val="20"/>
          <w:szCs w:val="22"/>
        </w:rPr>
      </w:pPr>
      <w:r w:rsidRPr="00360085">
        <w:rPr>
          <w:rFonts w:cs="Arial"/>
          <w:i/>
          <w:iCs/>
          <w:sz w:val="20"/>
          <w:szCs w:val="22"/>
        </w:rPr>
        <w:t>„D</w:t>
      </w:r>
      <w:r w:rsidR="008D493F" w:rsidRPr="00360085">
        <w:rPr>
          <w:rFonts w:cs="Arial"/>
          <w:i/>
          <w:iCs/>
          <w:sz w:val="20"/>
          <w:szCs w:val="22"/>
        </w:rPr>
        <w:t xml:space="preserve">alší snížení proticyklické kapitálové rezervy o 0,5 % </w:t>
      </w:r>
      <w:r w:rsidRPr="00360085">
        <w:rPr>
          <w:rFonts w:cs="Arial"/>
          <w:i/>
          <w:iCs/>
          <w:sz w:val="20"/>
          <w:szCs w:val="22"/>
        </w:rPr>
        <w:t>je</w:t>
      </w:r>
      <w:r w:rsidR="009B5C0B" w:rsidRPr="00360085">
        <w:rPr>
          <w:rFonts w:cs="Arial"/>
          <w:i/>
          <w:iCs/>
          <w:sz w:val="20"/>
          <w:szCs w:val="22"/>
        </w:rPr>
        <w:t xml:space="preserve"> </w:t>
      </w:r>
      <w:r w:rsidR="008D493F" w:rsidRPr="00360085">
        <w:rPr>
          <w:rFonts w:cs="Arial"/>
          <w:i/>
          <w:iCs/>
          <w:sz w:val="20"/>
          <w:szCs w:val="22"/>
        </w:rPr>
        <w:t>správný</w:t>
      </w:r>
      <w:r w:rsidRPr="00360085">
        <w:rPr>
          <w:rFonts w:cs="Arial"/>
          <w:i/>
          <w:iCs/>
          <w:sz w:val="20"/>
          <w:szCs w:val="22"/>
        </w:rPr>
        <w:t>m</w:t>
      </w:r>
      <w:r w:rsidR="008D493F" w:rsidRPr="00360085">
        <w:rPr>
          <w:rFonts w:cs="Arial"/>
          <w:i/>
          <w:iCs/>
          <w:sz w:val="20"/>
          <w:szCs w:val="22"/>
        </w:rPr>
        <w:t xml:space="preserve"> krok</w:t>
      </w:r>
      <w:r w:rsidRPr="00360085">
        <w:rPr>
          <w:rFonts w:cs="Arial"/>
          <w:i/>
          <w:iCs/>
          <w:sz w:val="20"/>
          <w:szCs w:val="22"/>
        </w:rPr>
        <w:t>em</w:t>
      </w:r>
      <w:r w:rsidR="008D493F" w:rsidRPr="00360085">
        <w:rPr>
          <w:rFonts w:cs="Arial"/>
          <w:i/>
          <w:iCs/>
          <w:sz w:val="20"/>
          <w:szCs w:val="22"/>
        </w:rPr>
        <w:t xml:space="preserve"> ve správnou dobu. Ocenit je třeba</w:t>
      </w:r>
      <w:r w:rsidR="009B5C0B" w:rsidRPr="00360085">
        <w:rPr>
          <w:rFonts w:cs="Arial"/>
          <w:i/>
          <w:iCs/>
          <w:sz w:val="20"/>
          <w:szCs w:val="22"/>
        </w:rPr>
        <w:t>, že ČNB</w:t>
      </w:r>
      <w:r w:rsidR="00AD5174" w:rsidRPr="00360085">
        <w:rPr>
          <w:rFonts w:cs="Arial"/>
          <w:i/>
          <w:iCs/>
          <w:sz w:val="20"/>
          <w:szCs w:val="22"/>
        </w:rPr>
        <w:t xml:space="preserve"> toto opatření</w:t>
      </w:r>
      <w:r w:rsidR="009B5C0B" w:rsidRPr="00360085">
        <w:rPr>
          <w:rFonts w:cs="Arial"/>
          <w:i/>
          <w:iCs/>
          <w:sz w:val="20"/>
          <w:szCs w:val="22"/>
        </w:rPr>
        <w:t xml:space="preserve"> pojímá jako vpřed hledící, preventivní krok, který bankám vytváří dodatečný prostor jak pro poskytování úvěrů na podporu provozního kapitálu firem, tak jejich investic.</w:t>
      </w:r>
      <w:r w:rsidRPr="00360085">
        <w:rPr>
          <w:rFonts w:cs="Arial"/>
          <w:i/>
          <w:iCs/>
          <w:sz w:val="20"/>
          <w:szCs w:val="22"/>
        </w:rPr>
        <w:t>“</w:t>
      </w:r>
    </w:p>
    <w:p w:rsidR="00360085" w:rsidRPr="00360085" w:rsidRDefault="00360085" w:rsidP="008D493F">
      <w:pPr>
        <w:spacing w:line="276" w:lineRule="auto"/>
        <w:rPr>
          <w:rFonts w:cs="Arial"/>
          <w:i/>
          <w:iCs/>
          <w:sz w:val="20"/>
          <w:szCs w:val="22"/>
        </w:rPr>
      </w:pPr>
    </w:p>
    <w:p w:rsidR="008D493F" w:rsidRPr="00360085" w:rsidRDefault="00360085" w:rsidP="008D493F">
      <w:pPr>
        <w:spacing w:line="276" w:lineRule="auto"/>
        <w:rPr>
          <w:rFonts w:cs="Arial"/>
          <w:i/>
          <w:iCs/>
          <w:sz w:val="20"/>
          <w:szCs w:val="22"/>
        </w:rPr>
      </w:pPr>
      <w:r w:rsidRPr="00360085">
        <w:rPr>
          <w:rFonts w:cs="Arial"/>
          <w:i/>
          <w:iCs/>
          <w:sz w:val="20"/>
          <w:szCs w:val="22"/>
        </w:rPr>
        <w:t>„</w:t>
      </w:r>
      <w:r w:rsidR="009B5C0B" w:rsidRPr="00360085">
        <w:rPr>
          <w:rFonts w:cs="Arial"/>
          <w:i/>
          <w:iCs/>
          <w:sz w:val="20"/>
          <w:szCs w:val="22"/>
        </w:rPr>
        <w:t xml:space="preserve">Zrušení ukazatele DSTI pro usměrňování hypotéčních úvěrů je </w:t>
      </w:r>
      <w:r w:rsidR="00AD5174" w:rsidRPr="00360085">
        <w:rPr>
          <w:rFonts w:cs="Arial"/>
          <w:i/>
          <w:iCs/>
          <w:sz w:val="20"/>
          <w:szCs w:val="22"/>
        </w:rPr>
        <w:t>součástí snahy čelit propadu tohoto segmentu trhu, jeho účinky nelze nyní přesně předvídat, záležet bude i na dalším vývoji cen nemovitostí.</w:t>
      </w:r>
      <w:r w:rsidRPr="00360085">
        <w:rPr>
          <w:rFonts w:cs="Arial"/>
          <w:i/>
          <w:iCs/>
          <w:sz w:val="20"/>
          <w:szCs w:val="22"/>
        </w:rPr>
        <w:t>“</w:t>
      </w:r>
    </w:p>
    <w:p w:rsidR="008D493F" w:rsidRPr="00A5427E" w:rsidRDefault="008D493F" w:rsidP="00A5427E">
      <w:pPr>
        <w:spacing w:line="276" w:lineRule="auto"/>
        <w:rPr>
          <w:rFonts w:cs="Arial"/>
          <w:i/>
          <w:iCs/>
          <w:sz w:val="20"/>
          <w:szCs w:val="22"/>
        </w:rPr>
      </w:pPr>
    </w:p>
    <w:p w:rsidR="00315195" w:rsidRPr="006E15C4" w:rsidRDefault="00315195" w:rsidP="00A5427E">
      <w:pPr>
        <w:spacing w:line="276" w:lineRule="auto"/>
        <w:rPr>
          <w:rFonts w:cs="Arial"/>
          <w:sz w:val="20"/>
          <w:szCs w:val="22"/>
        </w:rPr>
      </w:pPr>
    </w:p>
    <w:p w:rsidR="00735541" w:rsidRDefault="0073554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735541" w:rsidRDefault="0073554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735541" w:rsidRDefault="00C07BAD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-264795</wp:posOffset>
                </wp:positionH>
                <wp:positionV relativeFrom="paragraph">
                  <wp:posOffset>193675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315195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7" style="position:absolute;left:0;text-align:left;margin-left:-20.85pt;margin-top:15.25pt;width:340.35pt;height:122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" fillcolor="#bfbfbf [2412]" stroked="f" strokeweight="1pt">
                <v:textbox inset="3mm,3mm,3mm,3mm">
                  <w:txbxContent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315195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5546" w:rsidRPr="00E27F2F" w:rsidRDefault="00A5427E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4147185</wp:posOffset>
                </wp:positionH>
                <wp:positionV relativeFrom="paragraph">
                  <wp:posOffset>59690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:rsidR="0065124E" w:rsidRPr="00F2719D" w:rsidRDefault="0031519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petraskova@cba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8" style="position:absolute;left:0;text-align:left;margin-left:326.55pt;margin-top:4.7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" fillcolor="#007e79" stroked="f" strokeweight="1pt">
                <v:fill opacity="56283f"/>
                <v:textbox inset="3mm,3mm,3mm,3mm">
                  <w:txbxContent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65124E" w:rsidRPr="00F2719D" w:rsidRDefault="00315195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petraskova@cba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546" w:rsidRPr="00E27F2F" w:rsidSect="00A5427E">
      <w:headerReference w:type="default" r:id="rId8"/>
      <w:footerReference w:type="default" r:id="rId9"/>
      <w:pgSz w:w="11906" w:h="16838"/>
      <w:pgMar w:top="2410" w:right="1274" w:bottom="1135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2C9C" w:rsidRDefault="004F2C9C" w:rsidP="00F573F1">
      <w:r>
        <w:separator/>
      </w:r>
    </w:p>
  </w:endnote>
  <w:endnote w:type="continuationSeparator" w:id="0">
    <w:p w:rsidR="004F2C9C" w:rsidRDefault="004F2C9C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2C9C" w:rsidRDefault="004F2C9C" w:rsidP="00F573F1">
      <w:r>
        <w:separator/>
      </w:r>
    </w:p>
  </w:footnote>
  <w:footnote w:type="continuationSeparator" w:id="0">
    <w:p w:rsidR="004F2C9C" w:rsidRDefault="004F2C9C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193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1008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C0277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2DD2"/>
    <w:rsid w:val="002375B2"/>
    <w:rsid w:val="002443DF"/>
    <w:rsid w:val="00244923"/>
    <w:rsid w:val="002472A6"/>
    <w:rsid w:val="00247512"/>
    <w:rsid w:val="0025305E"/>
    <w:rsid w:val="00253D09"/>
    <w:rsid w:val="002567A3"/>
    <w:rsid w:val="002578E8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195"/>
    <w:rsid w:val="00315F32"/>
    <w:rsid w:val="00327407"/>
    <w:rsid w:val="00335341"/>
    <w:rsid w:val="00340D76"/>
    <w:rsid w:val="00341D86"/>
    <w:rsid w:val="00346E27"/>
    <w:rsid w:val="003472AF"/>
    <w:rsid w:val="003508FE"/>
    <w:rsid w:val="00351369"/>
    <w:rsid w:val="00356FF7"/>
    <w:rsid w:val="00360085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664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06DC"/>
    <w:rsid w:val="004B1766"/>
    <w:rsid w:val="004B7ECE"/>
    <w:rsid w:val="004C0A56"/>
    <w:rsid w:val="004C0DD2"/>
    <w:rsid w:val="004C1FC5"/>
    <w:rsid w:val="004C50BF"/>
    <w:rsid w:val="004C751A"/>
    <w:rsid w:val="004D4333"/>
    <w:rsid w:val="004D6531"/>
    <w:rsid w:val="004E011D"/>
    <w:rsid w:val="004E1AC6"/>
    <w:rsid w:val="004E4B5B"/>
    <w:rsid w:val="004F2C9C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5C4"/>
    <w:rsid w:val="006E1DC5"/>
    <w:rsid w:val="006E3420"/>
    <w:rsid w:val="006E3FA9"/>
    <w:rsid w:val="006F2196"/>
    <w:rsid w:val="006F2B29"/>
    <w:rsid w:val="007015F5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35541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12928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D493F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5C0B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2DE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27E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D5174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676CC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07BAD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7869"/>
    <w:rsid w:val="00C627A3"/>
    <w:rsid w:val="00C64C2F"/>
    <w:rsid w:val="00C6528A"/>
    <w:rsid w:val="00C7375A"/>
    <w:rsid w:val="00C74048"/>
    <w:rsid w:val="00C74654"/>
    <w:rsid w:val="00C74970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1E8"/>
    <w:rsid w:val="00CF72AC"/>
    <w:rsid w:val="00D004E5"/>
    <w:rsid w:val="00D0142A"/>
    <w:rsid w:val="00D0150B"/>
    <w:rsid w:val="00D038D7"/>
    <w:rsid w:val="00D10717"/>
    <w:rsid w:val="00D10B53"/>
    <w:rsid w:val="00D1128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027E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2329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2585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0A6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35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FB5C-D220-44E4-9C43-D86FAFF2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4</cp:revision>
  <cp:lastPrinted>2019-08-27T11:23:00Z</cp:lastPrinted>
  <dcterms:created xsi:type="dcterms:W3CDTF">2020-06-18T14:52:00Z</dcterms:created>
  <dcterms:modified xsi:type="dcterms:W3CDTF">2020-06-18T15:06:00Z</dcterms:modified>
</cp:coreProperties>
</file>