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276A4" w14:textId="350D4C19" w:rsidR="005B644B" w:rsidRPr="00B35B21" w:rsidRDefault="00B37D42" w:rsidP="005B644B">
      <w:pPr>
        <w:rPr>
          <w:rFonts w:cs="Arial"/>
          <w:b/>
          <w:sz w:val="20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A2D3239" wp14:editId="28623312">
                <wp:simplePos x="0" y="0"/>
                <wp:positionH relativeFrom="margin">
                  <wp:posOffset>5196840</wp:posOffset>
                </wp:positionH>
                <wp:positionV relativeFrom="paragraph">
                  <wp:posOffset>-747395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D73E" w14:textId="0EB467C4" w:rsidR="00B37D42" w:rsidRDefault="00B37D42" w:rsidP="00B37D42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AC82271" w14:textId="54F98075" w:rsidR="00B37D42" w:rsidRPr="00517111" w:rsidRDefault="00B37D42" w:rsidP="00B37D42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28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02</w:t>
                            </w:r>
                            <w:r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2D323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9.2pt;margin-top:-58.8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" filled="f" stroked="f">
                <v:textbox style="mso-fit-shape-to-text:t">
                  <w:txbxContent>
                    <w:p w14:paraId="21C2D73E" w14:textId="0EB467C4" w:rsidR="00B37D42" w:rsidRDefault="00B37D42" w:rsidP="00B37D42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AC82271" w14:textId="54F98075" w:rsidR="00B37D42" w:rsidRPr="00517111" w:rsidRDefault="00B37D42" w:rsidP="00B37D42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28</w:t>
                      </w:r>
                      <w:r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>
                        <w:rPr>
                          <w:color w:val="BFBFBF" w:themeColor="background1" w:themeShade="BF"/>
                        </w:rPr>
                        <w:t>02</w:t>
                      </w:r>
                      <w:r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Komentář České bankovní asociace k bankovní statistice za </w:t>
      </w:r>
      <w:r w:rsidR="00712581">
        <w:rPr>
          <w:rFonts w:cs="Arial"/>
          <w:b/>
          <w:color w:val="007E79"/>
          <w:sz w:val="28"/>
          <w:szCs w:val="28"/>
        </w:rPr>
        <w:t>leden</w:t>
      </w:r>
      <w:r w:rsidR="005B644B" w:rsidRPr="00B35B21">
        <w:rPr>
          <w:rFonts w:cs="Arial"/>
          <w:b/>
          <w:color w:val="007E79"/>
          <w:sz w:val="28"/>
          <w:szCs w:val="28"/>
        </w:rPr>
        <w:t xml:space="preserve"> 20</w:t>
      </w:r>
      <w:r w:rsidR="00712581">
        <w:rPr>
          <w:rFonts w:cs="Arial"/>
          <w:b/>
          <w:color w:val="007E79"/>
          <w:sz w:val="28"/>
          <w:szCs w:val="28"/>
        </w:rPr>
        <w:t>20</w:t>
      </w:r>
    </w:p>
    <w:p w14:paraId="179E383D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2BE03AA7" w14:textId="77777777" w:rsidR="004C0DD2" w:rsidRDefault="00877706" w:rsidP="00877706">
      <w:pPr>
        <w:spacing w:after="120" w:line="276" w:lineRule="auto"/>
        <w:contextualSpacing/>
        <w:rPr>
          <w:rFonts w:cs="Arial"/>
          <w:b/>
          <w:color w:val="007E79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Autor: </w:t>
      </w:r>
      <w:r w:rsidR="004C0DD2" w:rsidRPr="004C0DD2">
        <w:rPr>
          <w:rFonts w:cs="Arial"/>
          <w:b/>
          <w:color w:val="007E79"/>
          <w:sz w:val="22"/>
          <w:szCs w:val="24"/>
        </w:rPr>
        <w:t xml:space="preserve">Miroslav Zámečník, ekonomický analytik České bankovní asociace </w:t>
      </w:r>
      <w:bookmarkStart w:id="0" w:name="_GoBack"/>
      <w:bookmarkEnd w:id="0"/>
    </w:p>
    <w:p w14:paraId="5436DEE0" w14:textId="1A49241A" w:rsidR="00877706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  <w:r w:rsidRPr="00877706">
        <w:rPr>
          <w:rFonts w:cs="Arial"/>
          <w:b/>
          <w:color w:val="007E79"/>
          <w:sz w:val="22"/>
          <w:szCs w:val="22"/>
        </w:rPr>
        <w:t xml:space="preserve">Praha, </w:t>
      </w:r>
      <w:r w:rsidR="00712581">
        <w:rPr>
          <w:rFonts w:cs="Arial"/>
          <w:b/>
          <w:color w:val="007E79"/>
          <w:sz w:val="22"/>
          <w:szCs w:val="22"/>
        </w:rPr>
        <w:t>28</w:t>
      </w:r>
      <w:r w:rsidRPr="00877706">
        <w:rPr>
          <w:rFonts w:cs="Arial"/>
          <w:b/>
          <w:color w:val="007E79"/>
          <w:sz w:val="22"/>
          <w:szCs w:val="22"/>
        </w:rPr>
        <w:t xml:space="preserve">. </w:t>
      </w:r>
      <w:r w:rsidR="00712581">
        <w:rPr>
          <w:rFonts w:cs="Arial"/>
          <w:b/>
          <w:color w:val="007E79"/>
          <w:sz w:val="22"/>
          <w:szCs w:val="22"/>
        </w:rPr>
        <w:t>února</w:t>
      </w:r>
      <w:r w:rsidRPr="00877706">
        <w:rPr>
          <w:rFonts w:cs="Arial"/>
          <w:b/>
          <w:color w:val="007E79"/>
          <w:sz w:val="22"/>
          <w:szCs w:val="22"/>
        </w:rPr>
        <w:t xml:space="preserve"> 20</w:t>
      </w:r>
      <w:r w:rsidR="005875CD">
        <w:rPr>
          <w:rFonts w:cs="Arial"/>
          <w:b/>
          <w:color w:val="007E79"/>
          <w:sz w:val="22"/>
          <w:szCs w:val="22"/>
        </w:rPr>
        <w:t>20</w:t>
      </w:r>
    </w:p>
    <w:p w14:paraId="581118C8" w14:textId="77777777" w:rsidR="004C0DD2" w:rsidRPr="00877706" w:rsidRDefault="004C0DD2" w:rsidP="00877706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14:paraId="22F08F98" w14:textId="77777777" w:rsidR="00226F32" w:rsidRPr="004C0DD2" w:rsidRDefault="00226F32" w:rsidP="00BD483C">
      <w:pPr>
        <w:spacing w:after="120" w:line="276" w:lineRule="auto"/>
        <w:contextualSpacing/>
        <w:rPr>
          <w:rFonts w:cs="Arial"/>
          <w:sz w:val="12"/>
          <w:szCs w:val="12"/>
        </w:rPr>
      </w:pPr>
    </w:p>
    <w:p w14:paraId="426ABD84" w14:textId="789CA685" w:rsidR="00D65A0D" w:rsidRDefault="003D643D" w:rsidP="00D65A0D">
      <w:pPr>
        <w:rPr>
          <w:rFonts w:cs="Arial"/>
          <w:sz w:val="20"/>
        </w:rPr>
      </w:pPr>
      <w:r w:rsidRPr="00FC0FF9">
        <w:rPr>
          <w:rFonts w:cs="Arial"/>
          <w:i/>
          <w:iCs/>
          <w:sz w:val="20"/>
        </w:rPr>
        <w:t xml:space="preserve">Objem </w:t>
      </w:r>
      <w:r w:rsidRPr="00FC0FF9">
        <w:rPr>
          <w:rFonts w:cs="Arial"/>
          <w:b/>
          <w:bCs/>
          <w:i/>
          <w:iCs/>
          <w:sz w:val="20"/>
        </w:rPr>
        <w:t>bankovních úvěrů rezidentům</w:t>
      </w:r>
      <w:r w:rsidRPr="00FC0FF9">
        <w:rPr>
          <w:rFonts w:cs="Arial"/>
          <w:i/>
          <w:iCs/>
          <w:sz w:val="20"/>
        </w:rPr>
        <w:t xml:space="preserve"> ke konci </w:t>
      </w:r>
      <w:r w:rsidR="005A2AAF">
        <w:rPr>
          <w:rFonts w:cs="Arial"/>
          <w:i/>
          <w:iCs/>
          <w:sz w:val="20"/>
        </w:rPr>
        <w:t>ledna 2020</w:t>
      </w:r>
      <w:r w:rsidRPr="00FC0FF9">
        <w:rPr>
          <w:rFonts w:cs="Arial"/>
          <w:i/>
          <w:iCs/>
          <w:sz w:val="20"/>
        </w:rPr>
        <w:t xml:space="preserve"> dosáhl</w:t>
      </w:r>
      <w:r w:rsidR="005A2AAF">
        <w:rPr>
          <w:rFonts w:cs="Arial"/>
          <w:i/>
          <w:iCs/>
          <w:sz w:val="20"/>
        </w:rPr>
        <w:t xml:space="preserve"> 6,120 </w:t>
      </w:r>
      <w:r w:rsidRPr="00FC0FF9">
        <w:rPr>
          <w:rFonts w:cs="Arial"/>
          <w:i/>
          <w:iCs/>
          <w:sz w:val="20"/>
        </w:rPr>
        <w:t>bili</w:t>
      </w:r>
      <w:r w:rsidR="00971802">
        <w:rPr>
          <w:rFonts w:cs="Arial"/>
          <w:i/>
          <w:iCs/>
          <w:sz w:val="20"/>
        </w:rPr>
        <w:t>o</w:t>
      </w:r>
      <w:r w:rsidRPr="00FC0FF9">
        <w:rPr>
          <w:rFonts w:cs="Arial"/>
          <w:i/>
          <w:iCs/>
          <w:sz w:val="20"/>
        </w:rPr>
        <w:t>nu korun</w:t>
      </w:r>
      <w:r w:rsidR="00D65A0D">
        <w:rPr>
          <w:rFonts w:cs="Arial"/>
          <w:i/>
          <w:iCs/>
          <w:sz w:val="20"/>
        </w:rPr>
        <w:t>.</w:t>
      </w:r>
      <w:r w:rsidRPr="00FC0FF9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>Oproti závěru minulého roku tak podle statistik České národní banky povyskočil o 513 miliard, ale nejde o nečekané číslo, ani důkaz prudkého nárůstu úvěrové emise, ale o každoroční úkaz, který má regulatorní kořeny.</w:t>
      </w:r>
    </w:p>
    <w:p w14:paraId="2EB17051" w14:textId="13F54FF7" w:rsidR="00D65A0D" w:rsidRDefault="00D65A0D" w:rsidP="003D643D">
      <w:pPr>
        <w:rPr>
          <w:rFonts w:cs="Arial"/>
          <w:i/>
          <w:iCs/>
          <w:sz w:val="20"/>
        </w:rPr>
      </w:pPr>
    </w:p>
    <w:p w14:paraId="5C3C91AF" w14:textId="332B024A" w:rsidR="00D65A0D" w:rsidRDefault="003D643D" w:rsidP="00D65A0D">
      <w:pPr>
        <w:rPr>
          <w:rFonts w:cs="Arial"/>
          <w:iCs/>
          <w:sz w:val="20"/>
        </w:rPr>
      </w:pPr>
      <w:r w:rsidRPr="00FC0FF9">
        <w:rPr>
          <w:rFonts w:cs="Arial"/>
          <w:i/>
          <w:iCs/>
          <w:sz w:val="20"/>
        </w:rPr>
        <w:t xml:space="preserve">Úvěry v Česku působícím </w:t>
      </w:r>
      <w:r w:rsidRPr="00FC0FF9">
        <w:rPr>
          <w:rFonts w:cs="Arial"/>
          <w:b/>
          <w:bCs/>
          <w:i/>
          <w:iCs/>
          <w:sz w:val="20"/>
        </w:rPr>
        <w:t>nefinančním</w:t>
      </w:r>
      <w:r w:rsidRPr="00FC0FF9"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b/>
          <w:i/>
          <w:iCs/>
          <w:sz w:val="20"/>
        </w:rPr>
        <w:t>podnikům</w:t>
      </w:r>
      <w:r w:rsidRPr="00FC0FF9">
        <w:rPr>
          <w:rFonts w:cs="Arial"/>
          <w:i/>
          <w:iCs/>
          <w:sz w:val="20"/>
        </w:rPr>
        <w:t xml:space="preserve"> </w:t>
      </w:r>
      <w:r w:rsidR="00D65A0D">
        <w:rPr>
          <w:rFonts w:cs="Arial"/>
          <w:i/>
          <w:iCs/>
          <w:sz w:val="20"/>
        </w:rPr>
        <w:t>oproti prosinci v podstatě stagnovaly na hladině bilionu korun (vzestup</w:t>
      </w:r>
      <w:r w:rsidR="005A2AAF">
        <w:rPr>
          <w:rFonts w:cs="Arial"/>
          <w:i/>
          <w:iCs/>
          <w:sz w:val="20"/>
        </w:rPr>
        <w:t xml:space="preserve"> o 9 miliard </w:t>
      </w:r>
      <w:r w:rsidR="00F935A1" w:rsidRPr="00FC0FF9">
        <w:rPr>
          <w:rFonts w:cs="Arial"/>
          <w:i/>
          <w:iCs/>
          <w:sz w:val="20"/>
        </w:rPr>
        <w:t>na</w:t>
      </w:r>
      <w:r w:rsidR="00325936" w:rsidRPr="00FC0FF9">
        <w:rPr>
          <w:rFonts w:cs="Arial"/>
          <w:i/>
          <w:iCs/>
          <w:sz w:val="20"/>
        </w:rPr>
        <w:t xml:space="preserve"> 1</w:t>
      </w:r>
      <w:r w:rsidR="00D65A0D">
        <w:rPr>
          <w:rFonts w:cs="Arial"/>
          <w:i/>
          <w:iCs/>
          <w:sz w:val="20"/>
        </w:rPr>
        <w:t xml:space="preserve"> </w:t>
      </w:r>
      <w:r w:rsidRPr="00FC0FF9">
        <w:rPr>
          <w:rFonts w:cs="Arial"/>
          <w:i/>
          <w:iCs/>
          <w:sz w:val="20"/>
        </w:rPr>
        <w:t>1</w:t>
      </w:r>
      <w:r w:rsidR="00F935A1" w:rsidRPr="00FC0FF9">
        <w:rPr>
          <w:rFonts w:cs="Arial"/>
          <w:i/>
          <w:iCs/>
          <w:sz w:val="20"/>
        </w:rPr>
        <w:t>2</w:t>
      </w:r>
      <w:r w:rsidR="005A2AAF">
        <w:rPr>
          <w:rFonts w:cs="Arial"/>
          <w:i/>
          <w:iCs/>
          <w:sz w:val="20"/>
        </w:rPr>
        <w:t>9</w:t>
      </w:r>
      <w:r w:rsidRPr="00FC0FF9">
        <w:rPr>
          <w:rFonts w:cs="Arial"/>
          <w:i/>
          <w:iCs/>
          <w:sz w:val="20"/>
        </w:rPr>
        <w:t xml:space="preserve"> </w:t>
      </w:r>
      <w:r w:rsidR="00D65A0D">
        <w:rPr>
          <w:rFonts w:cs="Arial"/>
          <w:i/>
          <w:iCs/>
          <w:sz w:val="20"/>
        </w:rPr>
        <w:t>miliard</w:t>
      </w:r>
      <w:r w:rsidRPr="00FC0FF9">
        <w:rPr>
          <w:rFonts w:cs="Arial"/>
          <w:i/>
          <w:iCs/>
          <w:sz w:val="20"/>
        </w:rPr>
        <w:t xml:space="preserve"> korun</w:t>
      </w:r>
      <w:r w:rsidR="00D65A0D">
        <w:rPr>
          <w:rFonts w:cs="Arial"/>
          <w:i/>
          <w:iCs/>
          <w:sz w:val="20"/>
        </w:rPr>
        <w:t xml:space="preserve">). </w:t>
      </w:r>
      <w:r w:rsidR="00D65A0D" w:rsidRPr="00D65A0D">
        <w:rPr>
          <w:rFonts w:cs="Arial"/>
          <w:i/>
          <w:iCs/>
          <w:sz w:val="20"/>
        </w:rPr>
        <w:t>Podíl dlouhodobých úvěrů, používaných pro financování podnikových investic</w:t>
      </w:r>
      <w:r w:rsidR="00D65A0D">
        <w:rPr>
          <w:rFonts w:cs="Arial"/>
          <w:i/>
          <w:iCs/>
          <w:sz w:val="20"/>
        </w:rPr>
        <w:t>,</w:t>
      </w:r>
      <w:r w:rsidR="00D65A0D" w:rsidRPr="00D65A0D">
        <w:rPr>
          <w:rFonts w:cs="Arial"/>
          <w:i/>
          <w:iCs/>
          <w:sz w:val="20"/>
        </w:rPr>
        <w:t xml:space="preserve"> je 57</w:t>
      </w:r>
      <w:r w:rsidR="00D65A0D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>%. Navzdory horším zprávám, přicházejícím ze zpracovatelského průmyslu, podíl firemních úvěrů v selhání poklesl meziměsíčně o desetinu procentního bodu na 3,1</w:t>
      </w:r>
      <w:r w:rsidR="00D65A0D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>% (z</w:t>
      </w:r>
      <w:r w:rsidR="00D65A0D">
        <w:rPr>
          <w:rFonts w:cs="Arial"/>
          <w:i/>
          <w:iCs/>
          <w:sz w:val="20"/>
        </w:rPr>
        <w:t xml:space="preserve"> někdejších</w:t>
      </w:r>
      <w:r w:rsidR="00D65A0D" w:rsidRPr="00D65A0D">
        <w:rPr>
          <w:rFonts w:cs="Arial"/>
          <w:i/>
          <w:iCs/>
          <w:sz w:val="20"/>
        </w:rPr>
        <w:t xml:space="preserve"> 9</w:t>
      </w:r>
      <w:r w:rsidR="00D65A0D">
        <w:rPr>
          <w:rFonts w:cs="Arial"/>
          <w:i/>
          <w:iCs/>
          <w:sz w:val="20"/>
        </w:rPr>
        <w:t xml:space="preserve"> </w:t>
      </w:r>
      <w:r w:rsidR="00D65A0D" w:rsidRPr="00D65A0D">
        <w:rPr>
          <w:rFonts w:cs="Arial"/>
          <w:i/>
          <w:iCs/>
          <w:sz w:val="20"/>
        </w:rPr>
        <w:t xml:space="preserve">% </w:t>
      </w:r>
      <w:r w:rsidR="00D65A0D">
        <w:rPr>
          <w:rFonts w:cs="Arial"/>
          <w:i/>
          <w:iCs/>
          <w:sz w:val="20"/>
        </w:rPr>
        <w:t>v prosinci 2010</w:t>
      </w:r>
      <w:r w:rsidR="00D65A0D" w:rsidRPr="00D65A0D">
        <w:rPr>
          <w:rFonts w:cs="Arial"/>
          <w:i/>
          <w:iCs/>
          <w:sz w:val="20"/>
        </w:rPr>
        <w:t>), což je velmi dobré číslo i v celoevropském srovnání</w:t>
      </w:r>
      <w:r w:rsidR="00D65A0D">
        <w:rPr>
          <w:rFonts w:cs="Arial"/>
          <w:i/>
          <w:iCs/>
          <w:sz w:val="20"/>
        </w:rPr>
        <w:t>.</w:t>
      </w:r>
    </w:p>
    <w:p w14:paraId="4C6201E3" w14:textId="1AADCAC2" w:rsidR="00D65A0D" w:rsidRDefault="00D65A0D" w:rsidP="003D643D">
      <w:pPr>
        <w:rPr>
          <w:rFonts w:cs="Arial"/>
          <w:i/>
          <w:iCs/>
          <w:sz w:val="20"/>
        </w:rPr>
      </w:pPr>
    </w:p>
    <w:p w14:paraId="4ADA2161" w14:textId="73D579C8" w:rsidR="00D65A0D" w:rsidRPr="00D65A0D" w:rsidRDefault="003D643D" w:rsidP="00D65A0D">
      <w:pPr>
        <w:rPr>
          <w:rFonts w:cs="Arial"/>
          <w:i/>
          <w:sz w:val="20"/>
        </w:rPr>
      </w:pPr>
      <w:r w:rsidRPr="00FC0FF9">
        <w:rPr>
          <w:rFonts w:cs="Arial"/>
          <w:b/>
          <w:i/>
          <w:iCs/>
          <w:sz w:val="20"/>
        </w:rPr>
        <w:t>Domácnosti</w:t>
      </w:r>
      <w:r w:rsidRPr="00FC0FF9">
        <w:rPr>
          <w:rFonts w:cs="Arial"/>
          <w:i/>
          <w:iCs/>
          <w:sz w:val="20"/>
        </w:rPr>
        <w:t xml:space="preserve"> dluží celkem 1,7</w:t>
      </w:r>
      <w:r w:rsidR="005A2AAF">
        <w:rPr>
          <w:rFonts w:cs="Arial"/>
          <w:i/>
          <w:iCs/>
          <w:sz w:val="20"/>
        </w:rPr>
        <w:t>53</w:t>
      </w:r>
      <w:r w:rsidRPr="00FC0FF9">
        <w:rPr>
          <w:rFonts w:cs="Arial"/>
          <w:i/>
          <w:iCs/>
          <w:sz w:val="20"/>
        </w:rPr>
        <w:t xml:space="preserve"> bilionu korun, kde stále jasně dominují s podílem téměř 76 % úvěry na bydlení, jež dosáhly 1,3</w:t>
      </w:r>
      <w:r w:rsidR="00F935A1" w:rsidRPr="00FC0FF9">
        <w:rPr>
          <w:rFonts w:cs="Arial"/>
          <w:i/>
          <w:iCs/>
          <w:sz w:val="20"/>
        </w:rPr>
        <w:t>3</w:t>
      </w:r>
      <w:r w:rsidR="005A2AAF">
        <w:rPr>
          <w:rFonts w:cs="Arial"/>
          <w:i/>
          <w:iCs/>
          <w:sz w:val="20"/>
        </w:rPr>
        <w:t>6</w:t>
      </w:r>
      <w:r w:rsidRPr="00FC0FF9">
        <w:rPr>
          <w:rFonts w:cs="Arial"/>
          <w:i/>
          <w:iCs/>
          <w:sz w:val="20"/>
        </w:rPr>
        <w:t xml:space="preserve"> bilionu </w:t>
      </w:r>
      <w:r w:rsidR="00D65A0D">
        <w:rPr>
          <w:rFonts w:cs="Arial"/>
          <w:i/>
          <w:iCs/>
          <w:sz w:val="20"/>
        </w:rPr>
        <w:t>korun.</w:t>
      </w:r>
      <w:r w:rsidR="00D65A0D" w:rsidRPr="00D65A0D">
        <w:rPr>
          <w:rFonts w:cs="Arial"/>
          <w:iCs/>
          <w:sz w:val="20"/>
        </w:rPr>
        <w:t xml:space="preserve"> </w:t>
      </w:r>
      <w:r w:rsidR="00D65A0D" w:rsidRPr="00D65A0D">
        <w:rPr>
          <w:rFonts w:cs="Arial"/>
          <w:i/>
          <w:sz w:val="20"/>
        </w:rPr>
        <w:t>Jejich celkový objem se tak meziměsíčně zvýšil o 0,4 %. I v případě domácností zůstává podíl úvěrů v selhání s 1,7</w:t>
      </w:r>
      <w:r w:rsidR="00D65A0D">
        <w:rPr>
          <w:rFonts w:cs="Arial"/>
          <w:i/>
          <w:sz w:val="20"/>
        </w:rPr>
        <w:t xml:space="preserve"> </w:t>
      </w:r>
      <w:r w:rsidR="00D65A0D" w:rsidRPr="00D65A0D">
        <w:rPr>
          <w:rFonts w:cs="Arial"/>
          <w:i/>
          <w:sz w:val="20"/>
        </w:rPr>
        <w:t>% rekordně nízký, navíc v případě hypoték se splácí ještě lépe</w:t>
      </w:r>
      <w:r w:rsidR="00D65A0D">
        <w:rPr>
          <w:rFonts w:cs="Arial"/>
          <w:i/>
          <w:sz w:val="20"/>
        </w:rPr>
        <w:t>.</w:t>
      </w:r>
      <w:r w:rsidR="00D65A0D" w:rsidRPr="00D65A0D">
        <w:rPr>
          <w:rFonts w:cs="Arial"/>
          <w:i/>
          <w:sz w:val="20"/>
        </w:rPr>
        <w:t xml:space="preserve"> Na druhé straně je zjevné, že trh s hypotékami vzhledem k regulacím ČNB, ale hlavně vysokým cenám nemovitostí nedosahuje rekordních hodnot nedávné minulosti</w:t>
      </w:r>
      <w:r w:rsidR="00BD23AA">
        <w:rPr>
          <w:rFonts w:cs="Arial"/>
          <w:i/>
          <w:sz w:val="20"/>
        </w:rPr>
        <w:t>, a to</w:t>
      </w:r>
      <w:r w:rsidR="00D65A0D" w:rsidRPr="00D65A0D">
        <w:rPr>
          <w:rFonts w:cs="Arial"/>
          <w:i/>
          <w:sz w:val="20"/>
        </w:rPr>
        <w:t xml:space="preserve"> jak počtem, tak </w:t>
      </w:r>
      <w:r w:rsidR="00BD23AA">
        <w:rPr>
          <w:rFonts w:cs="Arial"/>
          <w:i/>
          <w:sz w:val="20"/>
        </w:rPr>
        <w:t xml:space="preserve">i </w:t>
      </w:r>
      <w:r w:rsidR="00D65A0D" w:rsidRPr="00D65A0D">
        <w:rPr>
          <w:rFonts w:cs="Arial"/>
          <w:i/>
          <w:sz w:val="20"/>
        </w:rPr>
        <w:t xml:space="preserve">objemem skutečně nových obchodů. Obrat může přinést teprve podstatné zvýšení nabídky dostupných nemovitostí na trhu. V přepočtu na 1000 obyvatel se v Praze, kam se koncentruje poptávka a kde jsou ceny nejvyšší, nestaví ani polovičním tempem oproti třeba Varšavě nebo Vídni. </w:t>
      </w:r>
    </w:p>
    <w:p w14:paraId="461F0FF7" w14:textId="2D3F6001" w:rsidR="00D65A0D" w:rsidRDefault="00D65A0D" w:rsidP="003D643D">
      <w:pPr>
        <w:rPr>
          <w:rFonts w:cs="Arial"/>
          <w:i/>
          <w:iCs/>
          <w:sz w:val="20"/>
        </w:rPr>
      </w:pPr>
    </w:p>
    <w:p w14:paraId="58D63E24" w14:textId="77777777" w:rsidR="008E41D0" w:rsidRPr="00FC0FF9" w:rsidRDefault="008E41D0" w:rsidP="008E41D0">
      <w:pPr>
        <w:rPr>
          <w:rFonts w:cs="Arial"/>
          <w:i/>
          <w:iCs/>
          <w:sz w:val="20"/>
        </w:rPr>
      </w:pPr>
    </w:p>
    <w:p w14:paraId="43911932" w14:textId="30807D5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C5534D7" w14:textId="7BD90BD2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0A770D2" w14:textId="42A01A1B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13165447" w14:textId="77777777" w:rsidR="006E1421" w:rsidRDefault="006E1421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639697D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390BE13" w14:textId="77777777" w:rsidR="00D4029D" w:rsidRDefault="00D4029D" w:rsidP="00BD483C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4476D932" w14:textId="77777777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1E771BC6" w14:textId="77777777" w:rsidR="00662C23" w:rsidRPr="00E27F2F" w:rsidRDefault="005B644B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FB8FA3" wp14:editId="17C23350">
                <wp:simplePos x="0" y="0"/>
                <wp:positionH relativeFrom="margin">
                  <wp:posOffset>635</wp:posOffset>
                </wp:positionH>
                <wp:positionV relativeFrom="paragraph">
                  <wp:posOffset>113030</wp:posOffset>
                </wp:positionV>
                <wp:extent cx="6574790" cy="153162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31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DBABA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46543A39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284A646A" w14:textId="77777777" w:rsidR="005B644B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Mimo svou konzultantskou praxi v současnosti působí jako ekonomický analytik České bankovní asociace a hlavní ekonomický komentátor ekonomického týdeníku Euro. </w:t>
                            </w:r>
                          </w:p>
                          <w:p w14:paraId="48FB09D4" w14:textId="77777777" w:rsidR="005B644B" w:rsidRPr="003C72D7" w:rsidRDefault="005B644B" w:rsidP="005B644B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5B21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>Ve svém volném</w:t>
                            </w:r>
                            <w:r w:rsidRPr="003C72D7">
                              <w:rPr>
                                <w:rFonts w:ascii="Arial" w:eastAsia="Calibri" w:hAnsi="Arial" w:cs="Arial"/>
                                <w:sz w:val="18"/>
                                <w:szCs w:val="14"/>
                                <w:lang w:eastAsia="en-US"/>
                              </w:rPr>
                              <w:t xml:space="preserve"> času je nadšeným zoologem či působí jako lektor postgraduálních vzdělávacích programů.</w:t>
                            </w:r>
                          </w:p>
                          <w:p w14:paraId="61B4E341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B8FA3" id="Obdélník 5" o:spid="_x0000_s1026" style="position:absolute;left:0;text-align:left;margin-left:.05pt;margin-top:8.9pt;width:517.7pt;height:120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" fillcolor="#bfbfbf [2412]" stroked="f" strokeweight="1pt">
                <v:textbox inset="3mm,3mm,3mm,3mm">
                  <w:txbxContent>
                    <w:p w14:paraId="40DBABA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46543A39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284A646A" w14:textId="77777777" w:rsidR="005B644B" w:rsidRDefault="005B644B" w:rsidP="005B644B">
                      <w:pPr>
                        <w:pStyle w:val="THnorm"/>
                        <w:ind w:firstLine="0"/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Mimo svou konzultantskou praxi v současnosti působí jako ekonomický analytik České bankovní asociace a hlavní ekonomický komentátor ekonomického týdeníku Euro. </w:t>
                      </w:r>
                    </w:p>
                    <w:p w14:paraId="48FB09D4" w14:textId="77777777" w:rsidR="005B644B" w:rsidRPr="003C72D7" w:rsidRDefault="005B644B" w:rsidP="005B644B">
                      <w:pPr>
                        <w:pStyle w:val="THnorm"/>
                        <w:ind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5B21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>Ve svém volném</w:t>
                      </w:r>
                      <w:r w:rsidRPr="003C72D7">
                        <w:rPr>
                          <w:rFonts w:ascii="Arial" w:eastAsia="Calibri" w:hAnsi="Arial" w:cs="Arial"/>
                          <w:sz w:val="18"/>
                          <w:szCs w:val="14"/>
                          <w:lang w:eastAsia="en-US"/>
                        </w:rPr>
                        <w:t xml:space="preserve"> času je nadšeným zoologem či působí jako lektor postgraduálních vzdělávacích programů.</w:t>
                      </w:r>
                    </w:p>
                    <w:p w14:paraId="61B4E341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A712EC7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431C7CCE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ECD5FC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6D9F4A5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28B3E7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2E799D2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A04D12C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5D9748E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025930D3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2B2BBD6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374866" wp14:editId="33E13DB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5D3B2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07D74556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88B967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4E18ED43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2D52F17E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207338E" w14:textId="21266615" w:rsidR="0065124E" w:rsidRPr="00F2719D" w:rsidRDefault="00C56444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4951C50C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1013DDE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74866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6E45D3B2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07D74556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88B967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4E18ED43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2D52F17E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207338E" w14:textId="21266615" w:rsidR="0065124E" w:rsidRPr="00F2719D" w:rsidRDefault="00C56444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bookmarkStart w:id="1" w:name="_GoBack"/>
                      <w:bookmarkEnd w:id="1"/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4951C50C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1013DDE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091B9F" wp14:editId="6F759EE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115B2F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36E409A5" w14:textId="1DA0899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C56444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91B9F" id="Obdélník 199" o:spid="_x0000_s1028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" fillcolor="#bfbfbf [2412]" stroked="f" strokeweight="1pt">
                <v:textbox inset="3mm,3mm,3mm,3mm">
                  <w:txbxContent>
                    <w:p w14:paraId="6A115B2F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36E409A5" w14:textId="1DA0899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C56444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DDCC887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A05ADF8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6EFF582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EAA6413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19CE23D1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1440C69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40F7B8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3101C5E0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C10FD31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2CDF9F9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37581" w14:textId="77777777" w:rsidR="002C2122" w:rsidRDefault="002C2122" w:rsidP="00F573F1">
      <w:r>
        <w:separator/>
      </w:r>
    </w:p>
  </w:endnote>
  <w:endnote w:type="continuationSeparator" w:id="0">
    <w:p w14:paraId="5D1B8889" w14:textId="77777777" w:rsidR="002C2122" w:rsidRDefault="002C2122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0388EA50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691A43A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47EC" w14:textId="77777777" w:rsidR="002C2122" w:rsidRDefault="002C2122" w:rsidP="00F573F1">
      <w:r>
        <w:separator/>
      </w:r>
    </w:p>
  </w:footnote>
  <w:footnote w:type="continuationSeparator" w:id="0">
    <w:p w14:paraId="35014447" w14:textId="77777777" w:rsidR="002C2122" w:rsidRDefault="002C2122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98D6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4FB191" wp14:editId="605BE7E2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13AC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6B0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B37E1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1F9"/>
    <w:rsid w:val="002045A5"/>
    <w:rsid w:val="00205330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122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5936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D643D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07FBA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18B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421"/>
    <w:rsid w:val="006E1DC5"/>
    <w:rsid w:val="006E3420"/>
    <w:rsid w:val="006E3FA9"/>
    <w:rsid w:val="006F2196"/>
    <w:rsid w:val="006F2B29"/>
    <w:rsid w:val="006F6F64"/>
    <w:rsid w:val="00702D07"/>
    <w:rsid w:val="007078D6"/>
    <w:rsid w:val="00712581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281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E2336"/>
    <w:rsid w:val="008E41D0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1802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0E0A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37668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B05777"/>
    <w:rsid w:val="00B15438"/>
    <w:rsid w:val="00B2310C"/>
    <w:rsid w:val="00B24E54"/>
    <w:rsid w:val="00B27646"/>
    <w:rsid w:val="00B37D42"/>
    <w:rsid w:val="00B44EAC"/>
    <w:rsid w:val="00B506AC"/>
    <w:rsid w:val="00B50E2C"/>
    <w:rsid w:val="00B54F8C"/>
    <w:rsid w:val="00B60C22"/>
    <w:rsid w:val="00B73636"/>
    <w:rsid w:val="00B7657E"/>
    <w:rsid w:val="00B76C42"/>
    <w:rsid w:val="00B81F36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3374"/>
    <w:rsid w:val="00BB50DE"/>
    <w:rsid w:val="00BB7A89"/>
    <w:rsid w:val="00BC0CB8"/>
    <w:rsid w:val="00BC1B82"/>
    <w:rsid w:val="00BC5978"/>
    <w:rsid w:val="00BD0100"/>
    <w:rsid w:val="00BD23AA"/>
    <w:rsid w:val="00BD297C"/>
    <w:rsid w:val="00BD483C"/>
    <w:rsid w:val="00BD7A55"/>
    <w:rsid w:val="00BE00E4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5F81"/>
    <w:rsid w:val="00BF799F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6444"/>
    <w:rsid w:val="00C57869"/>
    <w:rsid w:val="00C62788"/>
    <w:rsid w:val="00C627A3"/>
    <w:rsid w:val="00C64C2F"/>
    <w:rsid w:val="00C6528A"/>
    <w:rsid w:val="00C7375A"/>
    <w:rsid w:val="00C74048"/>
    <w:rsid w:val="00C74654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5A0D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D6CB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55CA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054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096A"/>
    <w:rsid w:val="00F247BC"/>
    <w:rsid w:val="00F24BDA"/>
    <w:rsid w:val="00F2719D"/>
    <w:rsid w:val="00F313E8"/>
    <w:rsid w:val="00F36405"/>
    <w:rsid w:val="00F36C89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35A1"/>
    <w:rsid w:val="00F94AE5"/>
    <w:rsid w:val="00F970A7"/>
    <w:rsid w:val="00F9738D"/>
    <w:rsid w:val="00FA2228"/>
    <w:rsid w:val="00FA59C6"/>
    <w:rsid w:val="00FB4A1C"/>
    <w:rsid w:val="00FB60CC"/>
    <w:rsid w:val="00FB60FB"/>
    <w:rsid w:val="00FC0FF9"/>
    <w:rsid w:val="00FC23C7"/>
    <w:rsid w:val="00FC5A6D"/>
    <w:rsid w:val="00FC5B2A"/>
    <w:rsid w:val="00FD12DB"/>
    <w:rsid w:val="00FD1306"/>
    <w:rsid w:val="00FD368F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F137-3A15-41EB-B4DC-C7C408BF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Andrea Trudičová</cp:lastModifiedBy>
  <cp:revision>38</cp:revision>
  <cp:lastPrinted>2019-08-27T11:23:00Z</cp:lastPrinted>
  <dcterms:created xsi:type="dcterms:W3CDTF">2019-09-23T12:59:00Z</dcterms:created>
  <dcterms:modified xsi:type="dcterms:W3CDTF">2020-04-06T09:43:00Z</dcterms:modified>
</cp:coreProperties>
</file>